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95DDDB">
      <w:pPr>
        <w:jc w:val="center"/>
        <w:rPr>
          <w:rFonts w:ascii="Times New Roman" w:hAnsi="Times New Roman" w:cs="Times New Roman"/>
          <w:b/>
          <w:bCs/>
          <w:sz w:val="24"/>
          <w:szCs w:val="24"/>
        </w:rPr>
      </w:pPr>
      <w:r>
        <w:rPr>
          <w:rFonts w:ascii="Times New Roman" w:hAnsi="Times New Roman" w:cs="Times New Roman"/>
          <w:b/>
          <w:bCs/>
          <w:sz w:val="36"/>
          <w:szCs w:val="36"/>
        </w:rPr>
        <w:t>Grassroot Initiative for Strengthening Community Resilience (GISCOR)</w:t>
      </w:r>
    </w:p>
    <w:p w14:paraId="03A0CC7B">
      <w:pPr>
        <w:rPr>
          <w:rFonts w:ascii="Times New Roman" w:hAnsi="Times New Roman" w:cs="Times New Roman"/>
          <w:b/>
          <w:bCs/>
          <w:sz w:val="32"/>
          <w:szCs w:val="32"/>
        </w:rPr>
      </w:pPr>
      <w:r>
        <w:rPr>
          <w:rFonts w:ascii="Times New Roman" w:hAnsi="Times New Roman" w:cs="Times New Roman"/>
          <w:b/>
          <w:bCs/>
          <w:sz w:val="32"/>
          <w:szCs w:val="32"/>
        </w:rPr>
        <w:t>Tender Document for Refreshment (Food and Catering Services)</w:t>
      </w:r>
      <w:r>
        <w:rPr>
          <w:rFonts w:ascii="Times New Roman" w:hAnsi="Times New Roman" w:cs="Times New Roman"/>
          <w:sz w:val="32"/>
          <w:szCs w:val="32"/>
        </w:rPr>
        <w:br w:type="textWrapping"/>
      </w:r>
      <w:r>
        <w:rPr>
          <w:rFonts w:ascii="Times New Roman" w:hAnsi="Times New Roman" w:cs="Times New Roman"/>
          <w:b/>
          <w:bCs/>
          <w:sz w:val="32"/>
          <w:szCs w:val="32"/>
        </w:rPr>
        <w:t>Tender Reference No.: 11/24/NG/MAI/GISCOR/ITB/001</w:t>
      </w:r>
    </w:p>
    <w:p w14:paraId="6D267C2B">
      <w:pPr>
        <w:rPr>
          <w:rFonts w:ascii="Times New Roman" w:hAnsi="Times New Roman" w:cs="Times New Roman"/>
          <w:b/>
          <w:bCs/>
          <w:sz w:val="24"/>
          <w:szCs w:val="24"/>
        </w:rPr>
      </w:pPr>
      <w:r>
        <w:rPr>
          <w:rFonts w:ascii="Times New Roman" w:hAnsi="Times New Roman" w:cs="Times New Roman"/>
          <w:b/>
          <w:bCs/>
          <w:sz w:val="24"/>
          <w:szCs w:val="24"/>
        </w:rPr>
        <w:t>1. Introduction</w:t>
      </w:r>
    </w:p>
    <w:p w14:paraId="78766E63">
      <w:pPr>
        <w:jc w:val="both"/>
        <w:rPr>
          <w:rFonts w:ascii="Times New Roman" w:hAnsi="Times New Roman" w:cs="Times New Roman"/>
          <w:sz w:val="24"/>
          <w:szCs w:val="24"/>
        </w:rPr>
      </w:pPr>
      <w:r>
        <w:rPr>
          <w:rFonts w:ascii="Times New Roman" w:hAnsi="Times New Roman" w:cs="Times New Roman"/>
          <w:sz w:val="24"/>
          <w:szCs w:val="24"/>
        </w:rPr>
        <w:t xml:space="preserve">Grassroot Initiative for Strengthening Community Resilience (GISCOR) is a Non-Governmental, Non-Profit, and Non-Political national humanitarian and developmental organization based in Maiduguri, Borno State, Nigeria. GISCOR is dedicated to strengthening community resilience through various health, education, and livelihoods projects in </w:t>
      </w:r>
      <w:r>
        <w:rPr>
          <w:rFonts w:ascii="Times New Roman" w:hAnsi="Times New Roman" w:cs="Times New Roman"/>
          <w:sz w:val="24"/>
          <w:szCs w:val="24"/>
          <w:lang w:val="en-US"/>
        </w:rPr>
        <w:t>undeserved</w:t>
      </w:r>
      <w:r>
        <w:rPr>
          <w:rFonts w:ascii="Times New Roman" w:hAnsi="Times New Roman" w:cs="Times New Roman"/>
          <w:sz w:val="24"/>
          <w:szCs w:val="24"/>
        </w:rPr>
        <w:t xml:space="preserve"> and conflict-affected communities.</w:t>
      </w:r>
    </w:p>
    <w:p w14:paraId="3BF25EC0">
      <w:pPr>
        <w:jc w:val="both"/>
        <w:rPr>
          <w:rFonts w:ascii="Times New Roman" w:hAnsi="Times New Roman" w:cs="Times New Roman"/>
          <w:sz w:val="24"/>
          <w:szCs w:val="24"/>
        </w:rPr>
      </w:pPr>
      <w:r>
        <w:rPr>
          <w:rFonts w:ascii="Times New Roman" w:hAnsi="Times New Roman" w:cs="Times New Roman"/>
          <w:sz w:val="24"/>
          <w:szCs w:val="24"/>
        </w:rPr>
        <w:t>To support our work in Northwest and Northeast Nigeria, we are inviting qualified vendors to participate in a tender for the provision of catering services, including refreshments, for our programs, training, and events.</w:t>
      </w:r>
    </w:p>
    <w:p w14:paraId="229448CA">
      <w:pPr>
        <w:jc w:val="both"/>
        <w:rPr>
          <w:rFonts w:ascii="Times New Roman" w:hAnsi="Times New Roman" w:cs="Times New Roman"/>
          <w:b/>
          <w:bCs/>
          <w:sz w:val="24"/>
          <w:szCs w:val="24"/>
        </w:rPr>
      </w:pPr>
      <w:r>
        <w:rPr>
          <w:rFonts w:ascii="Times New Roman" w:hAnsi="Times New Roman" w:cs="Times New Roman"/>
          <w:b/>
          <w:bCs/>
          <w:sz w:val="24"/>
          <w:szCs w:val="24"/>
        </w:rPr>
        <w:t>2. Objective of the Tender</w:t>
      </w:r>
    </w:p>
    <w:p w14:paraId="35C92015">
      <w:pPr>
        <w:jc w:val="both"/>
        <w:rPr>
          <w:rFonts w:ascii="Times New Roman" w:hAnsi="Times New Roman" w:cs="Times New Roman"/>
          <w:sz w:val="24"/>
          <w:szCs w:val="24"/>
        </w:rPr>
      </w:pPr>
      <w:r>
        <w:rPr>
          <w:rFonts w:ascii="Times New Roman" w:hAnsi="Times New Roman" w:cs="Times New Roman"/>
          <w:sz w:val="24"/>
          <w:szCs w:val="24"/>
        </w:rPr>
        <w:t>The objective of this tender is to establish a contractual agreement with qualified suppliers who can provide reliable, high-quality, and timely catering services across two separate geographic regions. The contract will cover prepared meals, snacks, beverages, and other refreshment services required for GISCOR’s activities, ensuring that participants at all events are provided with adequate food and drink as per program specifications.</w:t>
      </w:r>
    </w:p>
    <w:p w14:paraId="7FE08C82">
      <w:pPr>
        <w:jc w:val="both"/>
        <w:rPr>
          <w:rFonts w:ascii="Times New Roman" w:hAnsi="Times New Roman" w:cs="Times New Roman"/>
          <w:b/>
          <w:bCs/>
          <w:sz w:val="24"/>
          <w:szCs w:val="24"/>
        </w:rPr>
      </w:pPr>
      <w:r>
        <w:rPr>
          <w:rFonts w:ascii="Times New Roman" w:hAnsi="Times New Roman" w:cs="Times New Roman"/>
          <w:b/>
          <w:bCs/>
          <w:sz w:val="24"/>
          <w:szCs w:val="24"/>
        </w:rPr>
        <w:t>3. Geographical Lots</w:t>
      </w:r>
    </w:p>
    <w:p w14:paraId="647B50FC">
      <w:pPr>
        <w:jc w:val="both"/>
        <w:rPr>
          <w:rFonts w:ascii="Times New Roman" w:hAnsi="Times New Roman" w:cs="Times New Roman"/>
          <w:sz w:val="24"/>
          <w:szCs w:val="24"/>
        </w:rPr>
      </w:pPr>
      <w:r>
        <w:rPr>
          <w:rFonts w:ascii="Times New Roman" w:hAnsi="Times New Roman" w:cs="Times New Roman"/>
          <w:sz w:val="24"/>
          <w:szCs w:val="24"/>
        </w:rPr>
        <w:t>The tender is divided into two distinct lots:</w:t>
      </w:r>
    </w:p>
    <w:p w14:paraId="69DEB3D4">
      <w:pPr>
        <w:jc w:val="both"/>
        <w:rPr>
          <w:rFonts w:ascii="Times New Roman" w:hAnsi="Times New Roman" w:cs="Times New Roman"/>
          <w:b/>
          <w:bCs/>
          <w:sz w:val="24"/>
          <w:szCs w:val="24"/>
        </w:rPr>
      </w:pPr>
      <w:r>
        <w:rPr>
          <w:rFonts w:ascii="Times New Roman" w:hAnsi="Times New Roman" w:cs="Times New Roman"/>
          <w:b/>
          <w:bCs/>
          <w:sz w:val="24"/>
          <w:szCs w:val="24"/>
        </w:rPr>
        <w:t>Lot 1: Northwest Nigeria</w:t>
      </w:r>
    </w:p>
    <w:p w14:paraId="1FA5B584">
      <w:pPr>
        <w:jc w:val="both"/>
        <w:rPr>
          <w:rFonts w:ascii="Times New Roman" w:hAnsi="Times New Roman" w:cs="Times New Roman"/>
          <w:sz w:val="24"/>
          <w:szCs w:val="24"/>
        </w:rPr>
      </w:pPr>
      <w:r>
        <w:rPr>
          <w:rFonts w:ascii="Times New Roman" w:hAnsi="Times New Roman" w:cs="Times New Roman"/>
          <w:sz w:val="24"/>
          <w:szCs w:val="24"/>
        </w:rPr>
        <w:t>This lot covers GISCOR’s food and catering requirements in the Northwest regions of Nigeria. This includes, but is not limited to, the following states:</w:t>
      </w:r>
    </w:p>
    <w:p w14:paraId="06CB0B42">
      <w:pPr>
        <w:numPr>
          <w:ilvl w:val="0"/>
          <w:numId w:val="1"/>
        </w:numPr>
        <w:jc w:val="both"/>
        <w:rPr>
          <w:rFonts w:ascii="Times New Roman" w:hAnsi="Times New Roman" w:cs="Times New Roman"/>
          <w:sz w:val="24"/>
          <w:szCs w:val="24"/>
        </w:rPr>
      </w:pPr>
      <w:r>
        <w:rPr>
          <w:rFonts w:ascii="Times New Roman" w:hAnsi="Times New Roman" w:cs="Times New Roman"/>
          <w:sz w:val="24"/>
          <w:szCs w:val="24"/>
        </w:rPr>
        <w:t>Sokoto</w:t>
      </w:r>
    </w:p>
    <w:p w14:paraId="367BA79D">
      <w:pPr>
        <w:numPr>
          <w:ilvl w:val="0"/>
          <w:numId w:val="1"/>
        </w:numPr>
        <w:jc w:val="both"/>
        <w:rPr>
          <w:rFonts w:ascii="Times New Roman" w:hAnsi="Times New Roman" w:cs="Times New Roman"/>
          <w:sz w:val="24"/>
          <w:szCs w:val="24"/>
        </w:rPr>
      </w:pPr>
      <w:r>
        <w:rPr>
          <w:rFonts w:ascii="Times New Roman" w:hAnsi="Times New Roman" w:cs="Times New Roman"/>
          <w:sz w:val="24"/>
          <w:szCs w:val="24"/>
        </w:rPr>
        <w:t>Ketsina</w:t>
      </w:r>
    </w:p>
    <w:p w14:paraId="40D9F432">
      <w:pPr>
        <w:numPr>
          <w:ilvl w:val="0"/>
          <w:numId w:val="1"/>
        </w:numPr>
        <w:jc w:val="both"/>
        <w:rPr>
          <w:rFonts w:ascii="Times New Roman" w:hAnsi="Times New Roman" w:cs="Times New Roman"/>
          <w:sz w:val="24"/>
          <w:szCs w:val="24"/>
        </w:rPr>
      </w:pPr>
      <w:r>
        <w:rPr>
          <w:rFonts w:ascii="Times New Roman" w:hAnsi="Times New Roman" w:cs="Times New Roman"/>
          <w:sz w:val="24"/>
          <w:szCs w:val="24"/>
        </w:rPr>
        <w:t>Zamfara</w:t>
      </w:r>
    </w:p>
    <w:p w14:paraId="047A0AEB">
      <w:pPr>
        <w:jc w:val="both"/>
        <w:rPr>
          <w:rFonts w:ascii="Times New Roman" w:hAnsi="Times New Roman" w:cs="Times New Roman"/>
          <w:sz w:val="24"/>
          <w:szCs w:val="24"/>
        </w:rPr>
      </w:pPr>
      <w:r>
        <w:rPr>
          <w:rFonts w:ascii="Times New Roman" w:hAnsi="Times New Roman" w:cs="Times New Roman"/>
          <w:sz w:val="24"/>
          <w:szCs w:val="24"/>
        </w:rPr>
        <w:t>The selected supplier will be responsible for providing high-quality catering services for GISCOR’s events, training, and other gatherings within the Northwest. Services may vary in frequency and volume based on programmatic needs.</w:t>
      </w:r>
    </w:p>
    <w:p w14:paraId="59018A4C">
      <w:pPr>
        <w:jc w:val="both"/>
        <w:rPr>
          <w:rFonts w:ascii="Times New Roman" w:hAnsi="Times New Roman" w:cs="Times New Roman"/>
          <w:b/>
          <w:bCs/>
          <w:sz w:val="24"/>
          <w:szCs w:val="24"/>
        </w:rPr>
      </w:pPr>
      <w:r>
        <w:rPr>
          <w:rFonts w:ascii="Times New Roman" w:hAnsi="Times New Roman" w:cs="Times New Roman"/>
          <w:b/>
          <w:bCs/>
          <w:sz w:val="24"/>
          <w:szCs w:val="24"/>
        </w:rPr>
        <w:t>Lot 2: Northeast Nigeria</w:t>
      </w:r>
    </w:p>
    <w:p w14:paraId="2B2376E7">
      <w:pPr>
        <w:jc w:val="both"/>
        <w:rPr>
          <w:rFonts w:ascii="Times New Roman" w:hAnsi="Times New Roman" w:cs="Times New Roman"/>
          <w:sz w:val="24"/>
          <w:szCs w:val="24"/>
        </w:rPr>
      </w:pPr>
      <w:r>
        <w:rPr>
          <w:rFonts w:ascii="Times New Roman" w:hAnsi="Times New Roman" w:cs="Times New Roman"/>
          <w:sz w:val="24"/>
          <w:szCs w:val="24"/>
        </w:rPr>
        <w:t>This lot addresses catering requirements in the Northeast regions of Nigeria, covering states such as:</w:t>
      </w:r>
    </w:p>
    <w:p w14:paraId="0A9547F9">
      <w:pPr>
        <w:numPr>
          <w:ilvl w:val="0"/>
          <w:numId w:val="2"/>
        </w:numPr>
        <w:jc w:val="both"/>
        <w:rPr>
          <w:rFonts w:ascii="Times New Roman" w:hAnsi="Times New Roman" w:cs="Times New Roman"/>
          <w:sz w:val="24"/>
          <w:szCs w:val="24"/>
        </w:rPr>
      </w:pPr>
      <w:r>
        <w:rPr>
          <w:rFonts w:ascii="Times New Roman" w:hAnsi="Times New Roman" w:cs="Times New Roman"/>
          <w:sz w:val="24"/>
          <w:szCs w:val="24"/>
        </w:rPr>
        <w:t>Borno</w:t>
      </w:r>
    </w:p>
    <w:p w14:paraId="1BF6DCF2">
      <w:pPr>
        <w:numPr>
          <w:ilvl w:val="0"/>
          <w:numId w:val="2"/>
        </w:numPr>
        <w:jc w:val="both"/>
        <w:rPr>
          <w:rFonts w:ascii="Times New Roman" w:hAnsi="Times New Roman" w:cs="Times New Roman"/>
          <w:sz w:val="24"/>
          <w:szCs w:val="24"/>
        </w:rPr>
      </w:pPr>
      <w:r>
        <w:rPr>
          <w:rFonts w:ascii="Times New Roman" w:hAnsi="Times New Roman" w:cs="Times New Roman"/>
          <w:sz w:val="24"/>
          <w:szCs w:val="24"/>
        </w:rPr>
        <w:t>Yobe</w:t>
      </w:r>
    </w:p>
    <w:p w14:paraId="6887004F">
      <w:pPr>
        <w:numPr>
          <w:ilvl w:val="0"/>
          <w:numId w:val="2"/>
        </w:numPr>
        <w:jc w:val="both"/>
        <w:rPr>
          <w:rFonts w:ascii="Times New Roman" w:hAnsi="Times New Roman" w:cs="Times New Roman"/>
          <w:sz w:val="24"/>
          <w:szCs w:val="24"/>
        </w:rPr>
      </w:pPr>
      <w:r>
        <w:rPr>
          <w:rFonts w:ascii="Times New Roman" w:hAnsi="Times New Roman" w:cs="Times New Roman"/>
          <w:sz w:val="24"/>
          <w:szCs w:val="24"/>
        </w:rPr>
        <w:t>Adamawa</w:t>
      </w:r>
    </w:p>
    <w:p w14:paraId="56F2BAD2">
      <w:pPr>
        <w:jc w:val="both"/>
        <w:rPr>
          <w:rFonts w:ascii="Times New Roman" w:hAnsi="Times New Roman" w:cs="Times New Roman"/>
          <w:sz w:val="24"/>
          <w:szCs w:val="24"/>
        </w:rPr>
      </w:pPr>
      <w:r>
        <w:rPr>
          <w:rFonts w:ascii="Times New Roman" w:hAnsi="Times New Roman" w:cs="Times New Roman"/>
          <w:sz w:val="24"/>
          <w:szCs w:val="24"/>
        </w:rPr>
        <w:t>The supplier awarded this lot will manage food and beverage services for all GISCOR events, workshops, and related activities in the Northeast region.</w:t>
      </w:r>
    </w:p>
    <w:p w14:paraId="1C6C8993">
      <w:pPr>
        <w:jc w:val="both"/>
        <w:rPr>
          <w:rFonts w:ascii="Times New Roman" w:hAnsi="Times New Roman" w:cs="Times New Roman"/>
          <w:sz w:val="24"/>
          <w:szCs w:val="24"/>
        </w:rPr>
      </w:pPr>
      <w:r>
        <w:rPr>
          <w:rFonts w:ascii="Times New Roman" w:hAnsi="Times New Roman" w:cs="Times New Roman"/>
          <w:b/>
          <w:bCs/>
          <w:sz w:val="24"/>
          <w:szCs w:val="24"/>
        </w:rPr>
        <w:t>Note</w:t>
      </w:r>
      <w:r>
        <w:rPr>
          <w:rFonts w:ascii="Times New Roman" w:hAnsi="Times New Roman" w:cs="Times New Roman"/>
          <w:sz w:val="24"/>
          <w:szCs w:val="24"/>
        </w:rPr>
        <w:t>: Suppliers may bid for one lot or both, depending on their operational capabilities. However, each lot will be evaluated separately, and suppliers must specify the lot(s) they are bidding on within the submission form.</w:t>
      </w:r>
    </w:p>
    <w:p w14:paraId="61FE38A1">
      <w:pPr>
        <w:jc w:val="both"/>
        <w:rPr>
          <w:rFonts w:ascii="Times New Roman" w:hAnsi="Times New Roman" w:cs="Times New Roman"/>
          <w:b/>
          <w:bCs/>
          <w:sz w:val="24"/>
          <w:szCs w:val="24"/>
        </w:rPr>
      </w:pPr>
      <w:r>
        <w:rPr>
          <w:rFonts w:ascii="Times New Roman" w:hAnsi="Times New Roman" w:cs="Times New Roman"/>
          <w:b/>
          <w:bCs/>
          <w:sz w:val="24"/>
          <w:szCs w:val="24"/>
        </w:rPr>
        <w:t>4. Scope of Work</w:t>
      </w:r>
    </w:p>
    <w:p w14:paraId="70CF6CED">
      <w:pPr>
        <w:jc w:val="both"/>
        <w:rPr>
          <w:rFonts w:ascii="Times New Roman" w:hAnsi="Times New Roman" w:cs="Times New Roman"/>
          <w:sz w:val="24"/>
          <w:szCs w:val="24"/>
        </w:rPr>
      </w:pPr>
      <w:r>
        <w:rPr>
          <w:rFonts w:ascii="Times New Roman" w:hAnsi="Times New Roman" w:cs="Times New Roman"/>
          <w:sz w:val="24"/>
          <w:szCs w:val="24"/>
        </w:rPr>
        <w:t>Suppliers awarded this tender will be expected to deliver the following:</w:t>
      </w:r>
    </w:p>
    <w:p w14:paraId="6092A446">
      <w:pPr>
        <w:numPr>
          <w:ilvl w:val="0"/>
          <w:numId w:val="3"/>
        </w:numPr>
        <w:jc w:val="both"/>
        <w:rPr>
          <w:rFonts w:ascii="Times New Roman" w:hAnsi="Times New Roman" w:cs="Times New Roman"/>
          <w:sz w:val="24"/>
          <w:szCs w:val="24"/>
          <w:highlight w:val="none"/>
        </w:rPr>
      </w:pPr>
      <w:r>
        <w:rPr>
          <w:rFonts w:ascii="Times New Roman" w:hAnsi="Times New Roman" w:cs="Times New Roman"/>
          <w:b/>
          <w:bCs/>
          <w:sz w:val="24"/>
          <w:szCs w:val="24"/>
        </w:rPr>
        <w:t>Food and Beverage Preparation</w:t>
      </w:r>
      <w:r>
        <w:rPr>
          <w:rFonts w:ascii="Times New Roman" w:hAnsi="Times New Roman" w:cs="Times New Roman"/>
          <w:sz w:val="24"/>
          <w:szCs w:val="24"/>
        </w:rPr>
        <w:t xml:space="preserve">: Provision of fresh, hygienically prepared meals and refreshments, including </w:t>
      </w:r>
      <w:r>
        <w:rPr>
          <w:rFonts w:ascii="Times New Roman" w:hAnsi="Times New Roman" w:cs="Times New Roman"/>
          <w:sz w:val="24"/>
          <w:szCs w:val="24"/>
          <w:highlight w:val="none"/>
        </w:rPr>
        <w:t>breakfast, lunch, dinner, snacks, drinks</w:t>
      </w:r>
      <w:r>
        <w:rPr>
          <w:rFonts w:hint="default" w:ascii="Times New Roman" w:hAnsi="Times New Roman" w:cs="Times New Roman"/>
          <w:sz w:val="24"/>
          <w:szCs w:val="24"/>
          <w:highlight w:val="none"/>
          <w:lang w:val="en-US"/>
        </w:rPr>
        <w:t xml:space="preserve"> and Bottle water for drinking</w:t>
      </w:r>
      <w:r>
        <w:rPr>
          <w:rFonts w:ascii="Times New Roman" w:hAnsi="Times New Roman" w:cs="Times New Roman"/>
          <w:sz w:val="24"/>
          <w:szCs w:val="24"/>
          <w:highlight w:val="none"/>
        </w:rPr>
        <w:t>.</w:t>
      </w:r>
    </w:p>
    <w:p w14:paraId="74B50C16">
      <w:pPr>
        <w:numPr>
          <w:ilvl w:val="0"/>
          <w:numId w:val="3"/>
        </w:numPr>
        <w:jc w:val="both"/>
        <w:rPr>
          <w:rFonts w:ascii="Times New Roman" w:hAnsi="Times New Roman" w:cs="Times New Roman"/>
          <w:sz w:val="24"/>
          <w:szCs w:val="24"/>
        </w:rPr>
      </w:pPr>
      <w:r>
        <w:rPr>
          <w:rFonts w:ascii="Times New Roman" w:hAnsi="Times New Roman" w:cs="Times New Roman"/>
          <w:b/>
          <w:bCs/>
          <w:sz w:val="24"/>
          <w:szCs w:val="24"/>
        </w:rPr>
        <w:t>Dietary Considerations</w:t>
      </w:r>
      <w:r>
        <w:rPr>
          <w:rFonts w:ascii="Times New Roman" w:hAnsi="Times New Roman" w:cs="Times New Roman"/>
          <w:sz w:val="24"/>
          <w:szCs w:val="24"/>
        </w:rPr>
        <w:t>: Ability to cater to specific dietary requirements such as vegetarian, halal, and allergen-sensitive meals.</w:t>
      </w:r>
    </w:p>
    <w:p w14:paraId="609D8F18">
      <w:pPr>
        <w:numPr>
          <w:ilvl w:val="0"/>
          <w:numId w:val="3"/>
        </w:numPr>
        <w:jc w:val="both"/>
        <w:rPr>
          <w:rFonts w:ascii="Times New Roman" w:hAnsi="Times New Roman" w:cs="Times New Roman"/>
          <w:sz w:val="24"/>
          <w:szCs w:val="24"/>
        </w:rPr>
      </w:pPr>
      <w:r>
        <w:rPr>
          <w:rFonts w:ascii="Times New Roman" w:hAnsi="Times New Roman" w:cs="Times New Roman"/>
          <w:b/>
          <w:bCs/>
          <w:sz w:val="24"/>
          <w:szCs w:val="24"/>
        </w:rPr>
        <w:t>Catering Supplies</w:t>
      </w:r>
      <w:r>
        <w:rPr>
          <w:rFonts w:ascii="Times New Roman" w:hAnsi="Times New Roman" w:cs="Times New Roman"/>
          <w:sz w:val="24"/>
          <w:szCs w:val="24"/>
        </w:rPr>
        <w:t>: Provision of necessary tableware, disposable utensils, and other required catering equipment.</w:t>
      </w:r>
    </w:p>
    <w:p w14:paraId="1787632A">
      <w:pPr>
        <w:numPr>
          <w:ilvl w:val="0"/>
          <w:numId w:val="3"/>
        </w:numPr>
        <w:jc w:val="both"/>
        <w:rPr>
          <w:rFonts w:ascii="Times New Roman" w:hAnsi="Times New Roman" w:cs="Times New Roman"/>
          <w:sz w:val="24"/>
          <w:szCs w:val="24"/>
        </w:rPr>
      </w:pPr>
      <w:r>
        <w:rPr>
          <w:rFonts w:ascii="Times New Roman" w:hAnsi="Times New Roman" w:cs="Times New Roman"/>
          <w:b/>
          <w:bCs/>
          <w:sz w:val="24"/>
          <w:szCs w:val="24"/>
        </w:rPr>
        <w:t>On-Site Catering Service</w:t>
      </w:r>
      <w:r>
        <w:rPr>
          <w:rFonts w:ascii="Times New Roman" w:hAnsi="Times New Roman" w:cs="Times New Roman"/>
          <w:sz w:val="24"/>
          <w:szCs w:val="24"/>
        </w:rPr>
        <w:t>: The supplier must have adequate staffing for food preparation and serving at on-site events when required.</w:t>
      </w:r>
    </w:p>
    <w:p w14:paraId="3FF3F4C3">
      <w:pPr>
        <w:numPr>
          <w:ilvl w:val="0"/>
          <w:numId w:val="3"/>
        </w:numPr>
        <w:jc w:val="both"/>
        <w:rPr>
          <w:rFonts w:ascii="Times New Roman" w:hAnsi="Times New Roman" w:cs="Times New Roman"/>
          <w:sz w:val="24"/>
          <w:szCs w:val="24"/>
        </w:rPr>
      </w:pPr>
      <w:r>
        <w:rPr>
          <w:rFonts w:ascii="Times New Roman" w:hAnsi="Times New Roman" w:cs="Times New Roman"/>
          <w:b/>
          <w:bCs/>
          <w:sz w:val="24"/>
          <w:szCs w:val="24"/>
        </w:rPr>
        <w:t>Transport and Delivery</w:t>
      </w:r>
      <w:r>
        <w:rPr>
          <w:rFonts w:ascii="Times New Roman" w:hAnsi="Times New Roman" w:cs="Times New Roman"/>
          <w:sz w:val="24"/>
          <w:szCs w:val="24"/>
        </w:rPr>
        <w:t>: Timely delivery of meals and refreshments to designated GISCOR event locations across the specified regions.</w:t>
      </w:r>
    </w:p>
    <w:p w14:paraId="127CE8E8">
      <w:pPr>
        <w:numPr>
          <w:ilvl w:val="0"/>
          <w:numId w:val="3"/>
        </w:numPr>
        <w:jc w:val="both"/>
        <w:rPr>
          <w:rFonts w:ascii="Times New Roman" w:hAnsi="Times New Roman" w:cs="Times New Roman"/>
          <w:sz w:val="24"/>
          <w:szCs w:val="24"/>
        </w:rPr>
      </w:pPr>
      <w:r>
        <w:rPr>
          <w:rFonts w:ascii="Times New Roman" w:hAnsi="Times New Roman" w:cs="Times New Roman"/>
          <w:b/>
          <w:bCs/>
          <w:sz w:val="24"/>
          <w:szCs w:val="24"/>
        </w:rPr>
        <w:t>Clean-Up Services</w:t>
      </w:r>
      <w:r>
        <w:rPr>
          <w:rFonts w:ascii="Times New Roman" w:hAnsi="Times New Roman" w:cs="Times New Roman"/>
          <w:sz w:val="24"/>
          <w:szCs w:val="24"/>
        </w:rPr>
        <w:t>: Suppliers must handle post-event clean-up related to catering services.</w:t>
      </w:r>
    </w:p>
    <w:p w14:paraId="5CFFD5A2">
      <w:pPr>
        <w:jc w:val="both"/>
        <w:rPr>
          <w:rFonts w:ascii="Times New Roman" w:hAnsi="Times New Roman" w:cs="Times New Roman"/>
          <w:b/>
          <w:bCs/>
          <w:sz w:val="24"/>
          <w:szCs w:val="24"/>
        </w:rPr>
      </w:pPr>
      <w:r>
        <w:rPr>
          <w:rFonts w:ascii="Times New Roman" w:hAnsi="Times New Roman" w:cs="Times New Roman"/>
          <w:b/>
          <w:bCs/>
          <w:sz w:val="24"/>
          <w:szCs w:val="24"/>
        </w:rPr>
        <w:t>5. Instructions for Submission</w:t>
      </w:r>
    </w:p>
    <w:p w14:paraId="5DB3A162">
      <w:pPr>
        <w:numPr>
          <w:ilvl w:val="0"/>
          <w:numId w:val="4"/>
        </w:numPr>
        <w:jc w:val="both"/>
        <w:rPr>
          <w:rFonts w:ascii="Times New Roman" w:hAnsi="Times New Roman" w:cs="Times New Roman"/>
          <w:sz w:val="24"/>
          <w:szCs w:val="24"/>
        </w:rPr>
      </w:pPr>
      <w:r>
        <w:rPr>
          <w:rFonts w:ascii="Times New Roman" w:hAnsi="Times New Roman" w:cs="Times New Roman"/>
          <w:b/>
          <w:bCs/>
          <w:sz w:val="24"/>
          <w:szCs w:val="24"/>
        </w:rPr>
        <w:t>Submission Deadline</w:t>
      </w:r>
      <w:r>
        <w:rPr>
          <w:rFonts w:ascii="Times New Roman" w:hAnsi="Times New Roman" w:cs="Times New Roman"/>
          <w:sz w:val="24"/>
          <w:szCs w:val="24"/>
        </w:rPr>
        <w:t>: All tender documents must be submitted by</w:t>
      </w:r>
      <w:r>
        <w:rPr>
          <w:rFonts w:hint="default" w:ascii="Times New Roman" w:hAnsi="Times New Roman" w:cs="Times New Roman"/>
          <w:sz w:val="24"/>
          <w:szCs w:val="24"/>
          <w:lang w:val="en-US"/>
        </w:rPr>
        <w:t xml:space="preserve"> </w:t>
      </w:r>
      <w:r>
        <w:rPr>
          <w:rFonts w:hint="default" w:ascii="Times New Roman" w:hAnsi="Times New Roman" w:cs="Times New Roman"/>
          <w:b/>
          <w:bCs/>
          <w:sz w:val="24"/>
          <w:szCs w:val="24"/>
          <w:lang w:val="en-US"/>
        </w:rPr>
        <w:t>17</w:t>
      </w:r>
      <w:r>
        <w:rPr>
          <w:rFonts w:ascii="Times New Roman" w:hAnsi="Times New Roman" w:cs="Times New Roman"/>
          <w:sz w:val="24"/>
          <w:szCs w:val="24"/>
        </w:rPr>
        <w:t xml:space="preserve"> </w:t>
      </w:r>
      <w:r>
        <w:rPr>
          <w:rFonts w:ascii="Times New Roman" w:hAnsi="Times New Roman" w:cs="Times New Roman"/>
          <w:b/>
          <w:bCs/>
          <w:sz w:val="24"/>
          <w:szCs w:val="24"/>
          <w:vertAlign w:val="superscript"/>
        </w:rPr>
        <w:t>th</w:t>
      </w:r>
      <w:r>
        <w:rPr>
          <w:rFonts w:ascii="Times New Roman" w:hAnsi="Times New Roman" w:cs="Times New Roman"/>
          <w:b/>
          <w:bCs/>
          <w:sz w:val="24"/>
          <w:szCs w:val="24"/>
        </w:rPr>
        <w:t xml:space="preserve"> December 2024</w:t>
      </w:r>
      <w:r>
        <w:rPr>
          <w:rFonts w:ascii="Times New Roman" w:hAnsi="Times New Roman" w:cs="Times New Roman"/>
          <w:sz w:val="24"/>
          <w:szCs w:val="24"/>
        </w:rPr>
        <w:t>.</w:t>
      </w:r>
    </w:p>
    <w:p w14:paraId="4F431E44">
      <w:pPr>
        <w:numPr>
          <w:ilvl w:val="0"/>
          <w:numId w:val="4"/>
        </w:numPr>
        <w:jc w:val="both"/>
        <w:rPr>
          <w:rFonts w:ascii="Times New Roman" w:hAnsi="Times New Roman" w:cs="Times New Roman"/>
          <w:sz w:val="24"/>
          <w:szCs w:val="24"/>
        </w:rPr>
      </w:pPr>
      <w:r>
        <w:rPr>
          <w:rFonts w:ascii="Times New Roman" w:hAnsi="Times New Roman" w:cs="Times New Roman"/>
          <w:b/>
          <w:bCs/>
          <w:sz w:val="24"/>
          <w:szCs w:val="24"/>
        </w:rPr>
        <w:t>Submission Method</w:t>
      </w:r>
      <w:r>
        <w:rPr>
          <w:rFonts w:ascii="Times New Roman" w:hAnsi="Times New Roman" w:cs="Times New Roman"/>
          <w:sz w:val="24"/>
          <w:szCs w:val="24"/>
        </w:rPr>
        <w:t xml:space="preserve">: Documents can be submitted electronically to </w:t>
      </w:r>
      <w:r>
        <w:fldChar w:fldCharType="begin"/>
      </w:r>
      <w:r>
        <w:instrText xml:space="preserve"> HYPERLINK "mailto:procurement@giscor.org" </w:instrText>
      </w:r>
      <w:r>
        <w:fldChar w:fldCharType="separate"/>
      </w:r>
      <w:r>
        <w:rPr>
          <w:rStyle w:val="6"/>
          <w:rFonts w:ascii="Times New Roman" w:hAnsi="Times New Roman" w:cs="Times New Roman"/>
          <w:sz w:val="24"/>
          <w:szCs w:val="24"/>
        </w:rPr>
        <w:t>procurement@giscor.org</w:t>
      </w:r>
      <w:r>
        <w:rPr>
          <w:rStyle w:val="6"/>
          <w:rFonts w:ascii="Times New Roman" w:hAnsi="Times New Roman" w:cs="Times New Roman"/>
          <w:sz w:val="24"/>
          <w:szCs w:val="24"/>
        </w:rPr>
        <w:fldChar w:fldCharType="end"/>
      </w:r>
      <w:r>
        <w:rPr>
          <w:rFonts w:ascii="Times New Roman" w:hAnsi="Times New Roman" w:cs="Times New Roman"/>
          <w:sz w:val="24"/>
          <w:szCs w:val="24"/>
        </w:rPr>
        <w:t xml:space="preserve"> or physically at </w:t>
      </w:r>
      <w:bookmarkStart w:id="0" w:name="_Hlk183273301"/>
      <w:r>
        <w:rPr>
          <w:rFonts w:ascii="Times New Roman" w:hAnsi="Times New Roman" w:cs="Times New Roman"/>
          <w:b/>
          <w:bCs/>
          <w:i/>
          <w:iCs/>
          <w:sz w:val="24"/>
          <w:szCs w:val="24"/>
        </w:rPr>
        <w:t>Plot No. 174 Damboa Road Adamawa Street Opp: Nanne and Boi Hotel Extension, Maiduguri Borno State</w:t>
      </w:r>
      <w:r>
        <w:rPr>
          <w:rFonts w:ascii="Times New Roman" w:hAnsi="Times New Roman" w:cs="Times New Roman"/>
          <w:sz w:val="24"/>
          <w:szCs w:val="24"/>
        </w:rPr>
        <w:t>.</w:t>
      </w:r>
    </w:p>
    <w:bookmarkEnd w:id="0"/>
    <w:p w14:paraId="5CED0598">
      <w:pPr>
        <w:numPr>
          <w:ilvl w:val="0"/>
          <w:numId w:val="4"/>
        </w:numPr>
        <w:jc w:val="both"/>
        <w:rPr>
          <w:rFonts w:ascii="Times New Roman" w:hAnsi="Times New Roman" w:cs="Times New Roman"/>
          <w:sz w:val="24"/>
          <w:szCs w:val="24"/>
        </w:rPr>
      </w:pPr>
      <w:r>
        <w:rPr>
          <w:rFonts w:ascii="Times New Roman" w:hAnsi="Times New Roman" w:cs="Times New Roman"/>
          <w:b/>
          <w:bCs/>
          <w:sz w:val="24"/>
          <w:szCs w:val="24"/>
        </w:rPr>
        <w:t>Required Documents</w:t>
      </w:r>
      <w:r>
        <w:rPr>
          <w:rFonts w:ascii="Times New Roman" w:hAnsi="Times New Roman" w:cs="Times New Roman"/>
          <w:sz w:val="24"/>
          <w:szCs w:val="24"/>
        </w:rPr>
        <w:t>:</w:t>
      </w:r>
    </w:p>
    <w:p w14:paraId="0BFC91D5">
      <w:pPr>
        <w:numPr>
          <w:ilvl w:val="1"/>
          <w:numId w:val="4"/>
        </w:numPr>
        <w:jc w:val="both"/>
        <w:rPr>
          <w:rFonts w:ascii="Times New Roman" w:hAnsi="Times New Roman" w:cs="Times New Roman"/>
          <w:sz w:val="24"/>
          <w:szCs w:val="24"/>
        </w:rPr>
      </w:pPr>
      <w:r>
        <w:rPr>
          <w:rFonts w:ascii="Times New Roman" w:hAnsi="Times New Roman" w:cs="Times New Roman"/>
          <w:sz w:val="24"/>
          <w:szCs w:val="24"/>
        </w:rPr>
        <w:t>Company Profile</w:t>
      </w:r>
    </w:p>
    <w:p w14:paraId="73734449">
      <w:pPr>
        <w:numPr>
          <w:ilvl w:val="1"/>
          <w:numId w:val="4"/>
        </w:numPr>
        <w:jc w:val="both"/>
        <w:rPr>
          <w:rFonts w:ascii="Times New Roman" w:hAnsi="Times New Roman" w:cs="Times New Roman"/>
          <w:sz w:val="24"/>
          <w:szCs w:val="24"/>
        </w:rPr>
      </w:pPr>
      <w:r>
        <w:rPr>
          <w:rFonts w:ascii="Times New Roman" w:hAnsi="Times New Roman" w:cs="Times New Roman"/>
          <w:sz w:val="24"/>
          <w:szCs w:val="24"/>
        </w:rPr>
        <w:t>Company Registration Certificate</w:t>
      </w:r>
    </w:p>
    <w:p w14:paraId="280F8F4B">
      <w:pPr>
        <w:numPr>
          <w:ilvl w:val="1"/>
          <w:numId w:val="4"/>
        </w:numPr>
        <w:jc w:val="both"/>
        <w:rPr>
          <w:rFonts w:ascii="Times New Roman" w:hAnsi="Times New Roman" w:cs="Times New Roman"/>
          <w:sz w:val="24"/>
          <w:szCs w:val="24"/>
        </w:rPr>
      </w:pPr>
      <w:r>
        <w:rPr>
          <w:rFonts w:ascii="Times New Roman" w:hAnsi="Times New Roman" w:cs="Times New Roman"/>
          <w:sz w:val="24"/>
          <w:szCs w:val="24"/>
        </w:rPr>
        <w:t>Tax Compliance Certificate</w:t>
      </w:r>
    </w:p>
    <w:p w14:paraId="77F903F0">
      <w:pPr>
        <w:numPr>
          <w:ilvl w:val="1"/>
          <w:numId w:val="4"/>
        </w:numPr>
        <w:jc w:val="both"/>
        <w:rPr>
          <w:rFonts w:ascii="Times New Roman" w:hAnsi="Times New Roman" w:cs="Times New Roman"/>
          <w:sz w:val="24"/>
          <w:szCs w:val="24"/>
        </w:rPr>
      </w:pPr>
      <w:r>
        <w:rPr>
          <w:rFonts w:ascii="Times New Roman" w:hAnsi="Times New Roman" w:cs="Times New Roman"/>
          <w:sz w:val="24"/>
          <w:szCs w:val="24"/>
        </w:rPr>
        <w:t>Bank Details</w:t>
      </w:r>
    </w:p>
    <w:p w14:paraId="27190A45">
      <w:pPr>
        <w:numPr>
          <w:ilvl w:val="1"/>
          <w:numId w:val="4"/>
        </w:numPr>
        <w:jc w:val="both"/>
        <w:rPr>
          <w:rFonts w:ascii="Times New Roman" w:hAnsi="Times New Roman" w:cs="Times New Roman"/>
          <w:sz w:val="24"/>
          <w:szCs w:val="24"/>
        </w:rPr>
      </w:pPr>
      <w:r>
        <w:rPr>
          <w:rFonts w:ascii="Times New Roman" w:hAnsi="Times New Roman" w:cs="Times New Roman"/>
          <w:sz w:val="24"/>
          <w:szCs w:val="24"/>
        </w:rPr>
        <w:t>Completed Supplier Information Form (Annex A)</w:t>
      </w:r>
    </w:p>
    <w:p w14:paraId="06ABCB1E">
      <w:pPr>
        <w:numPr>
          <w:ilvl w:val="1"/>
          <w:numId w:val="4"/>
        </w:numPr>
        <w:jc w:val="both"/>
        <w:rPr>
          <w:rFonts w:ascii="Times New Roman" w:hAnsi="Times New Roman" w:cs="Times New Roman"/>
          <w:sz w:val="24"/>
          <w:szCs w:val="24"/>
        </w:rPr>
      </w:pPr>
      <w:r>
        <w:rPr>
          <w:rFonts w:ascii="Times New Roman" w:hAnsi="Times New Roman" w:cs="Times New Roman"/>
          <w:sz w:val="24"/>
          <w:szCs w:val="24"/>
        </w:rPr>
        <w:t>Financial Offer Form (Annex B)</w:t>
      </w:r>
    </w:p>
    <w:p w14:paraId="079BED68">
      <w:pPr>
        <w:numPr>
          <w:ilvl w:val="1"/>
          <w:numId w:val="4"/>
        </w:numPr>
        <w:jc w:val="both"/>
        <w:rPr>
          <w:rFonts w:ascii="Times New Roman" w:hAnsi="Times New Roman" w:cs="Times New Roman"/>
          <w:sz w:val="24"/>
          <w:szCs w:val="24"/>
        </w:rPr>
      </w:pPr>
      <w:r>
        <w:rPr>
          <w:rFonts w:ascii="Times New Roman" w:hAnsi="Times New Roman" w:cs="Times New Roman"/>
          <w:sz w:val="24"/>
          <w:szCs w:val="24"/>
        </w:rPr>
        <w:t>Signed Bid Submission Form</w:t>
      </w:r>
    </w:p>
    <w:p w14:paraId="03EF6868">
      <w:pPr>
        <w:numPr>
          <w:ilvl w:val="1"/>
          <w:numId w:val="4"/>
        </w:numPr>
        <w:jc w:val="both"/>
        <w:rPr>
          <w:rFonts w:ascii="Times New Roman" w:hAnsi="Times New Roman" w:cs="Times New Roman"/>
          <w:sz w:val="24"/>
          <w:szCs w:val="24"/>
        </w:rPr>
      </w:pPr>
      <w:r>
        <w:rPr>
          <w:rFonts w:ascii="Times New Roman" w:hAnsi="Times New Roman" w:cs="Times New Roman"/>
          <w:sz w:val="24"/>
          <w:szCs w:val="24"/>
        </w:rPr>
        <w:t>Evidence of Previous Contracts in Catering or Related Services</w:t>
      </w:r>
    </w:p>
    <w:p w14:paraId="2ADEC641">
      <w:pPr>
        <w:jc w:val="both"/>
        <w:rPr>
          <w:rFonts w:ascii="Times New Roman" w:hAnsi="Times New Roman" w:cs="Times New Roman"/>
          <w:sz w:val="24"/>
          <w:szCs w:val="24"/>
          <w:highlight w:val="none"/>
        </w:rPr>
      </w:pPr>
      <w:r>
        <w:rPr>
          <w:rFonts w:ascii="Times New Roman" w:hAnsi="Times New Roman" w:cs="Times New Roman"/>
          <w:i/>
          <w:iCs/>
          <w:sz w:val="24"/>
          <w:szCs w:val="24"/>
          <w:highlight w:val="none"/>
        </w:rPr>
        <w:t>Failure to submit any of the above documents will result in disqualification during the administrative evaluation stage.</w:t>
      </w:r>
    </w:p>
    <w:p w14:paraId="11756785">
      <w:pPr>
        <w:jc w:val="both"/>
        <w:rPr>
          <w:rFonts w:ascii="Times New Roman" w:hAnsi="Times New Roman" w:cs="Times New Roman"/>
          <w:b/>
          <w:bCs/>
          <w:sz w:val="24"/>
          <w:szCs w:val="24"/>
        </w:rPr>
      </w:pPr>
      <w:r>
        <w:rPr>
          <w:rFonts w:ascii="Times New Roman" w:hAnsi="Times New Roman" w:cs="Times New Roman"/>
          <w:b/>
          <w:bCs/>
          <w:sz w:val="24"/>
          <w:szCs w:val="24"/>
        </w:rPr>
        <w:t>6. Evaluation Process</w:t>
      </w:r>
    </w:p>
    <w:p w14:paraId="601110D6">
      <w:pPr>
        <w:jc w:val="both"/>
        <w:rPr>
          <w:rFonts w:ascii="Times New Roman" w:hAnsi="Times New Roman" w:cs="Times New Roman"/>
          <w:sz w:val="24"/>
          <w:szCs w:val="24"/>
        </w:rPr>
      </w:pPr>
      <w:r>
        <w:rPr>
          <w:rFonts w:ascii="Times New Roman" w:hAnsi="Times New Roman" w:cs="Times New Roman"/>
          <w:sz w:val="24"/>
          <w:szCs w:val="24"/>
        </w:rPr>
        <w:t>The evaluation process will be conducted in three stages: Administrative, Technical, and Financial. Each stage aims to assess the bidder's capability, service quality, and cost-effectiveness.</w:t>
      </w:r>
    </w:p>
    <w:p w14:paraId="09BFD270">
      <w:pPr>
        <w:jc w:val="both"/>
        <w:rPr>
          <w:rFonts w:ascii="Times New Roman" w:hAnsi="Times New Roman" w:cs="Times New Roman"/>
          <w:b/>
          <w:bCs/>
          <w:sz w:val="24"/>
          <w:szCs w:val="24"/>
        </w:rPr>
      </w:pPr>
      <w:r>
        <w:rPr>
          <w:rFonts w:ascii="Times New Roman" w:hAnsi="Times New Roman" w:cs="Times New Roman"/>
          <w:b/>
          <w:bCs/>
          <w:sz w:val="24"/>
          <w:szCs w:val="24"/>
        </w:rPr>
        <w:t>6.1 Administrative Evaluation</w:t>
      </w:r>
    </w:p>
    <w:p w14:paraId="1EF8CD5C">
      <w:pPr>
        <w:jc w:val="both"/>
        <w:rPr>
          <w:rFonts w:ascii="Times New Roman" w:hAnsi="Times New Roman" w:cs="Times New Roman"/>
          <w:sz w:val="24"/>
          <w:szCs w:val="24"/>
        </w:rPr>
      </w:pPr>
      <w:r>
        <w:rPr>
          <w:rFonts w:ascii="Times New Roman" w:hAnsi="Times New Roman" w:cs="Times New Roman"/>
          <w:sz w:val="24"/>
          <w:szCs w:val="24"/>
        </w:rPr>
        <w:t>The administrative evaluation verifies that each bidder has submitted all required documents and meets the eligibility criteria. Bidders will receive a "Pass" or "Fail" based on the completeness and validity of their documentation.</w:t>
      </w:r>
    </w:p>
    <w:p w14:paraId="49EAFE84">
      <w:pPr>
        <w:jc w:val="both"/>
        <w:rPr>
          <w:rFonts w:ascii="Times New Roman" w:hAnsi="Times New Roman" w:cs="Times New Roman"/>
          <w:b/>
          <w:bCs/>
          <w:sz w:val="24"/>
          <w:szCs w:val="24"/>
        </w:rPr>
      </w:pPr>
      <w:r>
        <w:rPr>
          <w:rFonts w:ascii="Times New Roman" w:hAnsi="Times New Roman" w:cs="Times New Roman"/>
          <w:b/>
          <w:bCs/>
          <w:sz w:val="24"/>
          <w:szCs w:val="24"/>
        </w:rPr>
        <w:t>6.2 Technical Evaluation Criteria</w:t>
      </w:r>
    </w:p>
    <w:p w14:paraId="5732DB5A">
      <w:pPr>
        <w:jc w:val="both"/>
        <w:rPr>
          <w:rFonts w:ascii="Times New Roman" w:hAnsi="Times New Roman" w:cs="Times New Roman"/>
          <w:sz w:val="24"/>
          <w:szCs w:val="24"/>
        </w:rPr>
      </w:pPr>
      <w:r>
        <w:rPr>
          <w:rFonts w:ascii="Times New Roman" w:hAnsi="Times New Roman" w:cs="Times New Roman"/>
          <w:sz w:val="24"/>
          <w:szCs w:val="24"/>
        </w:rPr>
        <w:t>Bidders will be evaluated on the following technical criteria, with a maximum score of 70 points.</w:t>
      </w:r>
    </w:p>
    <w:tbl>
      <w:tblPr>
        <w:tblStyle w:val="3"/>
        <w:tblW w:w="8498" w:type="dxa"/>
        <w:tblInd w:w="0" w:type="dxa"/>
        <w:tblLayout w:type="autofit"/>
        <w:tblCellMar>
          <w:top w:w="0" w:type="dxa"/>
          <w:left w:w="108" w:type="dxa"/>
          <w:bottom w:w="0" w:type="dxa"/>
          <w:right w:w="108" w:type="dxa"/>
        </w:tblCellMar>
      </w:tblPr>
      <w:tblGrid>
        <w:gridCol w:w="3077"/>
        <w:gridCol w:w="2384"/>
        <w:gridCol w:w="3037"/>
      </w:tblGrid>
      <w:tr w14:paraId="69CF39B9">
        <w:tblPrEx>
          <w:tblCellMar>
            <w:top w:w="0" w:type="dxa"/>
            <w:left w:w="108" w:type="dxa"/>
            <w:bottom w:w="0" w:type="dxa"/>
            <w:right w:w="108" w:type="dxa"/>
          </w:tblCellMar>
        </w:tblPrEx>
        <w:trPr>
          <w:trHeight w:val="90" w:hRule="atLeast"/>
        </w:trPr>
        <w:tc>
          <w:tcPr>
            <w:tcW w:w="3077" w:type="dxa"/>
            <w:tcBorders>
              <w:top w:val="single" w:color="auto" w:sz="8" w:space="0"/>
              <w:left w:val="single" w:color="auto" w:sz="8" w:space="0"/>
              <w:bottom w:val="single" w:color="auto" w:sz="8" w:space="0"/>
              <w:right w:val="single" w:color="auto" w:sz="4" w:space="0"/>
            </w:tcBorders>
            <w:shd w:val="clear" w:color="auto" w:fill="auto"/>
          </w:tcPr>
          <w:p w14:paraId="41454165">
            <w:pPr>
              <w:spacing w:after="0" w:line="240" w:lineRule="auto"/>
              <w:jc w:val="both"/>
              <w:rPr>
                <w:rFonts w:ascii="Times New Roman" w:hAnsi="Times New Roman" w:eastAsia="Times New Roman" w:cs="Times New Roman"/>
                <w:b/>
                <w:bCs/>
                <w:color w:val="000000"/>
                <w:sz w:val="24"/>
                <w:szCs w:val="24"/>
              </w:rPr>
            </w:pPr>
            <w:r>
              <w:rPr>
                <w:rFonts w:ascii="Times New Roman" w:hAnsi="Times New Roman" w:eastAsia="Times New Roman" w:cs="Times New Roman"/>
                <w:b/>
                <w:bCs/>
                <w:color w:val="000000"/>
                <w:sz w:val="24"/>
                <w:szCs w:val="24"/>
              </w:rPr>
              <w:t>Criteria</w:t>
            </w:r>
          </w:p>
        </w:tc>
        <w:tc>
          <w:tcPr>
            <w:tcW w:w="2384" w:type="dxa"/>
            <w:tcBorders>
              <w:top w:val="single" w:color="auto" w:sz="8" w:space="0"/>
              <w:left w:val="nil"/>
              <w:bottom w:val="single" w:color="auto" w:sz="8" w:space="0"/>
              <w:right w:val="single" w:color="auto" w:sz="4" w:space="0"/>
            </w:tcBorders>
            <w:shd w:val="clear" w:color="auto" w:fill="auto"/>
          </w:tcPr>
          <w:p w14:paraId="18EA89B9">
            <w:pPr>
              <w:spacing w:after="0" w:line="240" w:lineRule="auto"/>
              <w:jc w:val="both"/>
              <w:rPr>
                <w:rFonts w:ascii="Times New Roman" w:hAnsi="Times New Roman" w:eastAsia="Times New Roman" w:cs="Times New Roman"/>
                <w:b/>
                <w:bCs/>
                <w:color w:val="000000"/>
                <w:sz w:val="24"/>
                <w:szCs w:val="24"/>
              </w:rPr>
            </w:pPr>
            <w:r>
              <w:rPr>
                <w:rFonts w:ascii="Times New Roman" w:hAnsi="Times New Roman" w:eastAsia="Times New Roman" w:cs="Times New Roman"/>
                <w:b/>
                <w:bCs/>
                <w:color w:val="000000"/>
                <w:sz w:val="24"/>
                <w:szCs w:val="24"/>
              </w:rPr>
              <w:t>Maximum Points</w:t>
            </w:r>
          </w:p>
        </w:tc>
        <w:tc>
          <w:tcPr>
            <w:tcW w:w="3037" w:type="dxa"/>
            <w:tcBorders>
              <w:top w:val="single" w:color="auto" w:sz="8" w:space="0"/>
              <w:left w:val="nil"/>
              <w:bottom w:val="single" w:color="auto" w:sz="8" w:space="0"/>
              <w:right w:val="single" w:color="auto" w:sz="8" w:space="0"/>
            </w:tcBorders>
            <w:shd w:val="clear" w:color="auto" w:fill="auto"/>
          </w:tcPr>
          <w:p w14:paraId="78B2435D">
            <w:pPr>
              <w:spacing w:after="0" w:line="240" w:lineRule="auto"/>
              <w:jc w:val="both"/>
              <w:rPr>
                <w:rFonts w:ascii="Times New Roman" w:hAnsi="Times New Roman" w:eastAsia="Times New Roman" w:cs="Times New Roman"/>
                <w:b/>
                <w:bCs/>
                <w:color w:val="000000"/>
                <w:sz w:val="24"/>
                <w:szCs w:val="24"/>
              </w:rPr>
            </w:pPr>
            <w:r>
              <w:rPr>
                <w:rFonts w:ascii="Times New Roman" w:hAnsi="Times New Roman" w:eastAsia="Times New Roman" w:cs="Times New Roman"/>
                <w:b/>
                <w:bCs/>
                <w:color w:val="000000"/>
                <w:sz w:val="24"/>
                <w:szCs w:val="24"/>
              </w:rPr>
              <w:t>Description</w:t>
            </w:r>
          </w:p>
        </w:tc>
      </w:tr>
      <w:tr w14:paraId="6FA0C657">
        <w:tblPrEx>
          <w:tblCellMar>
            <w:top w:w="0" w:type="dxa"/>
            <w:left w:w="108" w:type="dxa"/>
            <w:bottom w:w="0" w:type="dxa"/>
            <w:right w:w="108" w:type="dxa"/>
          </w:tblCellMar>
        </w:tblPrEx>
        <w:trPr>
          <w:trHeight w:val="90" w:hRule="atLeast"/>
        </w:trPr>
        <w:tc>
          <w:tcPr>
            <w:tcW w:w="3077" w:type="dxa"/>
            <w:tcBorders>
              <w:top w:val="nil"/>
              <w:left w:val="single" w:color="auto" w:sz="8" w:space="0"/>
              <w:bottom w:val="single" w:color="auto" w:sz="4" w:space="0"/>
              <w:right w:val="single" w:color="auto" w:sz="4" w:space="0"/>
            </w:tcBorders>
            <w:shd w:val="clear" w:color="auto" w:fill="auto"/>
          </w:tcPr>
          <w:p w14:paraId="4DE6609F">
            <w:pPr>
              <w:spacing w:after="0" w:line="240" w:lineRule="auto"/>
              <w:rPr>
                <w:rFonts w:ascii="Times New Roman" w:hAnsi="Times New Roman" w:eastAsia="Times New Roman" w:cs="Times New Roman"/>
                <w:b/>
                <w:bCs/>
                <w:color w:val="000000"/>
                <w:sz w:val="24"/>
                <w:szCs w:val="24"/>
              </w:rPr>
            </w:pPr>
            <w:bookmarkStart w:id="1" w:name="_Hlk183274142"/>
            <w:r>
              <w:rPr>
                <w:rFonts w:ascii="Times New Roman" w:hAnsi="Times New Roman" w:eastAsia="Times New Roman" w:cs="Times New Roman"/>
                <w:b/>
                <w:bCs/>
                <w:color w:val="000000"/>
                <w:sz w:val="24"/>
                <w:szCs w:val="24"/>
              </w:rPr>
              <w:t xml:space="preserve">Company Years of Existence and verifiable address </w:t>
            </w:r>
          </w:p>
        </w:tc>
        <w:tc>
          <w:tcPr>
            <w:tcW w:w="2384" w:type="dxa"/>
            <w:tcBorders>
              <w:top w:val="nil"/>
              <w:left w:val="nil"/>
              <w:bottom w:val="single" w:color="auto" w:sz="4" w:space="0"/>
              <w:right w:val="single" w:color="auto" w:sz="4" w:space="0"/>
            </w:tcBorders>
            <w:shd w:val="clear" w:color="auto" w:fill="auto"/>
          </w:tcPr>
          <w:p w14:paraId="1A159B9D">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20 points</w:t>
            </w:r>
          </w:p>
        </w:tc>
        <w:tc>
          <w:tcPr>
            <w:tcW w:w="3037" w:type="dxa"/>
            <w:tcBorders>
              <w:top w:val="nil"/>
              <w:left w:val="nil"/>
              <w:bottom w:val="single" w:color="auto" w:sz="4" w:space="0"/>
              <w:right w:val="single" w:color="auto" w:sz="8" w:space="0"/>
            </w:tcBorders>
            <w:shd w:val="clear" w:color="auto" w:fill="auto"/>
          </w:tcPr>
          <w:p w14:paraId="49FFA66F">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Evidence of existence minimum 01 Yes=10 points and 5 additional points per year beyond 01 year limited to 02 additional years</w:t>
            </w:r>
          </w:p>
        </w:tc>
      </w:tr>
      <w:bookmarkEnd w:id="1"/>
      <w:tr w14:paraId="5A6BC30F">
        <w:tblPrEx>
          <w:tblCellMar>
            <w:top w:w="0" w:type="dxa"/>
            <w:left w:w="108" w:type="dxa"/>
            <w:bottom w:w="0" w:type="dxa"/>
            <w:right w:w="108" w:type="dxa"/>
          </w:tblCellMar>
        </w:tblPrEx>
        <w:trPr>
          <w:trHeight w:val="90" w:hRule="atLeast"/>
        </w:trPr>
        <w:tc>
          <w:tcPr>
            <w:tcW w:w="3077" w:type="dxa"/>
            <w:tcBorders>
              <w:top w:val="nil"/>
              <w:left w:val="single" w:color="auto" w:sz="8" w:space="0"/>
              <w:bottom w:val="single" w:color="auto" w:sz="4" w:space="0"/>
              <w:right w:val="single" w:color="auto" w:sz="4" w:space="0"/>
            </w:tcBorders>
            <w:shd w:val="clear" w:color="auto" w:fill="auto"/>
          </w:tcPr>
          <w:p w14:paraId="05E5E587">
            <w:pPr>
              <w:spacing w:after="0" w:line="240" w:lineRule="auto"/>
              <w:rPr>
                <w:rFonts w:ascii="Times New Roman" w:hAnsi="Times New Roman" w:eastAsia="Times New Roman" w:cs="Times New Roman"/>
                <w:b/>
                <w:bCs/>
                <w:color w:val="000000"/>
                <w:sz w:val="24"/>
                <w:szCs w:val="24"/>
              </w:rPr>
            </w:pPr>
            <w:r>
              <w:rPr>
                <w:rFonts w:ascii="Times New Roman" w:hAnsi="Times New Roman" w:eastAsia="Times New Roman" w:cs="Times New Roman"/>
                <w:b/>
                <w:bCs/>
                <w:color w:val="000000"/>
                <w:sz w:val="24"/>
                <w:szCs w:val="24"/>
              </w:rPr>
              <w:t>Experience in Catering Services</w:t>
            </w:r>
          </w:p>
        </w:tc>
        <w:tc>
          <w:tcPr>
            <w:tcW w:w="2384" w:type="dxa"/>
            <w:tcBorders>
              <w:top w:val="nil"/>
              <w:left w:val="nil"/>
              <w:bottom w:val="single" w:color="auto" w:sz="4" w:space="0"/>
              <w:right w:val="single" w:color="auto" w:sz="4" w:space="0"/>
            </w:tcBorders>
            <w:shd w:val="clear" w:color="auto" w:fill="auto"/>
          </w:tcPr>
          <w:p w14:paraId="5FA33180">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30 points</w:t>
            </w:r>
          </w:p>
        </w:tc>
        <w:tc>
          <w:tcPr>
            <w:tcW w:w="3037" w:type="dxa"/>
            <w:tcBorders>
              <w:top w:val="nil"/>
              <w:left w:val="nil"/>
              <w:bottom w:val="single" w:color="auto" w:sz="4" w:space="0"/>
              <w:right w:val="single" w:color="auto" w:sz="8" w:space="0"/>
            </w:tcBorders>
            <w:shd w:val="clear" w:color="auto" w:fill="auto"/>
          </w:tcPr>
          <w:p w14:paraId="12AEE3F4">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Previous similar experience with UN, NGOs, Embassies and other diplomatic services (Including Giscor). limited to 3 Tenders/purchase order= 10 points each</w:t>
            </w:r>
          </w:p>
        </w:tc>
      </w:tr>
      <w:tr w14:paraId="4BED312C">
        <w:tblPrEx>
          <w:tblCellMar>
            <w:top w:w="0" w:type="dxa"/>
            <w:left w:w="108" w:type="dxa"/>
            <w:bottom w:w="0" w:type="dxa"/>
            <w:right w:w="108" w:type="dxa"/>
          </w:tblCellMar>
        </w:tblPrEx>
        <w:trPr>
          <w:trHeight w:val="90" w:hRule="atLeast"/>
        </w:trPr>
        <w:tc>
          <w:tcPr>
            <w:tcW w:w="3077" w:type="dxa"/>
            <w:tcBorders>
              <w:top w:val="nil"/>
              <w:left w:val="single" w:color="auto" w:sz="8" w:space="0"/>
              <w:bottom w:val="single" w:color="auto" w:sz="4" w:space="0"/>
              <w:right w:val="single" w:color="auto" w:sz="4" w:space="0"/>
            </w:tcBorders>
            <w:shd w:val="clear" w:color="auto" w:fill="auto"/>
          </w:tcPr>
          <w:p w14:paraId="7326F1DC">
            <w:pPr>
              <w:spacing w:after="0" w:line="240" w:lineRule="auto"/>
              <w:rPr>
                <w:rFonts w:ascii="Times New Roman" w:hAnsi="Times New Roman" w:eastAsia="Times New Roman" w:cs="Times New Roman"/>
                <w:b/>
                <w:bCs/>
                <w:color w:val="000000"/>
                <w:sz w:val="24"/>
                <w:szCs w:val="24"/>
                <w:highlight w:val="none"/>
              </w:rPr>
            </w:pPr>
            <w:r>
              <w:rPr>
                <w:rFonts w:ascii="Times New Roman" w:hAnsi="Times New Roman" w:eastAsia="Times New Roman" w:cs="Times New Roman"/>
                <w:b/>
                <w:bCs/>
                <w:color w:val="000000"/>
                <w:sz w:val="24"/>
                <w:szCs w:val="24"/>
                <w:highlight w:val="none"/>
              </w:rPr>
              <w:t>Logistics and Delivery Capacity</w:t>
            </w:r>
          </w:p>
        </w:tc>
        <w:tc>
          <w:tcPr>
            <w:tcW w:w="2384" w:type="dxa"/>
            <w:tcBorders>
              <w:top w:val="nil"/>
              <w:left w:val="nil"/>
              <w:bottom w:val="single" w:color="auto" w:sz="4" w:space="0"/>
              <w:right w:val="single" w:color="auto" w:sz="4" w:space="0"/>
            </w:tcBorders>
            <w:shd w:val="clear" w:color="auto" w:fill="auto"/>
          </w:tcPr>
          <w:p w14:paraId="381975D7">
            <w:pPr>
              <w:spacing w:after="0" w:line="240" w:lineRule="auto"/>
              <w:jc w:val="both"/>
              <w:rPr>
                <w:rFonts w:ascii="Times New Roman" w:hAnsi="Times New Roman" w:eastAsia="Times New Roman" w:cs="Times New Roman"/>
                <w:color w:val="000000"/>
                <w:sz w:val="24"/>
                <w:szCs w:val="24"/>
                <w:highlight w:val="none"/>
              </w:rPr>
            </w:pPr>
            <w:r>
              <w:rPr>
                <w:rFonts w:ascii="Times New Roman" w:hAnsi="Times New Roman" w:eastAsia="Times New Roman" w:cs="Times New Roman"/>
                <w:color w:val="000000"/>
                <w:sz w:val="24"/>
                <w:szCs w:val="24"/>
                <w:highlight w:val="none"/>
              </w:rPr>
              <w:t>10 points</w:t>
            </w:r>
          </w:p>
        </w:tc>
        <w:tc>
          <w:tcPr>
            <w:tcW w:w="3037" w:type="dxa"/>
            <w:tcBorders>
              <w:top w:val="nil"/>
              <w:left w:val="nil"/>
              <w:bottom w:val="single" w:color="auto" w:sz="4" w:space="0"/>
              <w:right w:val="single" w:color="auto" w:sz="8" w:space="0"/>
            </w:tcBorders>
            <w:shd w:val="clear" w:color="auto" w:fill="auto"/>
          </w:tcPr>
          <w:p w14:paraId="43CA88C1">
            <w:pPr>
              <w:spacing w:after="0" w:line="240" w:lineRule="auto"/>
              <w:jc w:val="both"/>
              <w:rPr>
                <w:rFonts w:hint="default" w:ascii="Times New Roman" w:hAnsi="Times New Roman" w:eastAsia="Times New Roman" w:cs="Times New Roman"/>
                <w:color w:val="000000"/>
                <w:sz w:val="24"/>
                <w:szCs w:val="24"/>
                <w:highlight w:val="none"/>
                <w:lang w:val="en-US"/>
              </w:rPr>
            </w:pPr>
            <w:r>
              <w:rPr>
                <w:rFonts w:ascii="Times New Roman" w:hAnsi="Times New Roman" w:eastAsia="Times New Roman" w:cs="Times New Roman"/>
                <w:color w:val="000000"/>
                <w:sz w:val="24"/>
                <w:szCs w:val="24"/>
                <w:highlight w:val="none"/>
              </w:rPr>
              <w:t>Ability to deliver on schedule and adapt to different event locations for lot 1 and 2</w:t>
            </w:r>
            <w:r>
              <w:rPr>
                <w:rFonts w:hint="default" w:ascii="Times New Roman" w:hAnsi="Times New Roman" w:eastAsia="Times New Roman" w:cs="Times New Roman"/>
                <w:color w:val="000000"/>
                <w:sz w:val="24"/>
                <w:szCs w:val="24"/>
                <w:highlight w:val="none"/>
                <w:lang w:val="en-US"/>
              </w:rPr>
              <w:t xml:space="preserve"> (Please attached evidence )</w:t>
            </w:r>
          </w:p>
        </w:tc>
      </w:tr>
      <w:tr w14:paraId="3FF82BC5">
        <w:tblPrEx>
          <w:tblCellMar>
            <w:top w:w="0" w:type="dxa"/>
            <w:left w:w="108" w:type="dxa"/>
            <w:bottom w:w="0" w:type="dxa"/>
            <w:right w:w="108" w:type="dxa"/>
          </w:tblCellMar>
        </w:tblPrEx>
        <w:trPr>
          <w:trHeight w:val="90" w:hRule="atLeast"/>
        </w:trPr>
        <w:tc>
          <w:tcPr>
            <w:tcW w:w="3077" w:type="dxa"/>
            <w:tcBorders>
              <w:top w:val="nil"/>
              <w:left w:val="single" w:color="auto" w:sz="8" w:space="0"/>
              <w:bottom w:val="single" w:color="auto" w:sz="4" w:space="0"/>
              <w:right w:val="single" w:color="auto" w:sz="4" w:space="0"/>
            </w:tcBorders>
            <w:shd w:val="clear" w:color="auto" w:fill="auto"/>
          </w:tcPr>
          <w:p w14:paraId="658455C0">
            <w:pPr>
              <w:spacing w:after="0" w:line="240" w:lineRule="auto"/>
              <w:rPr>
                <w:rFonts w:ascii="Times New Roman" w:hAnsi="Times New Roman" w:eastAsia="Times New Roman" w:cs="Times New Roman"/>
                <w:b/>
                <w:bCs/>
                <w:color w:val="000000"/>
                <w:sz w:val="24"/>
                <w:szCs w:val="24"/>
              </w:rPr>
            </w:pPr>
            <w:r>
              <w:rPr>
                <w:rFonts w:ascii="Times New Roman" w:hAnsi="Times New Roman" w:eastAsia="Times New Roman" w:cs="Times New Roman"/>
                <w:b/>
                <w:bCs/>
                <w:color w:val="000000"/>
                <w:sz w:val="24"/>
                <w:szCs w:val="24"/>
              </w:rPr>
              <w:t>Staffing and Equipment</w:t>
            </w:r>
          </w:p>
        </w:tc>
        <w:tc>
          <w:tcPr>
            <w:tcW w:w="2384" w:type="dxa"/>
            <w:tcBorders>
              <w:top w:val="nil"/>
              <w:left w:val="nil"/>
              <w:bottom w:val="single" w:color="auto" w:sz="4" w:space="0"/>
              <w:right w:val="single" w:color="auto" w:sz="4" w:space="0"/>
            </w:tcBorders>
            <w:shd w:val="clear" w:color="auto" w:fill="auto"/>
          </w:tcPr>
          <w:p w14:paraId="20DA8EC1">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10 points</w:t>
            </w:r>
          </w:p>
        </w:tc>
        <w:tc>
          <w:tcPr>
            <w:tcW w:w="3037" w:type="dxa"/>
            <w:tcBorders>
              <w:top w:val="nil"/>
              <w:left w:val="nil"/>
              <w:bottom w:val="single" w:color="auto" w:sz="4" w:space="0"/>
              <w:right w:val="single" w:color="auto" w:sz="8" w:space="0"/>
            </w:tcBorders>
            <w:shd w:val="clear" w:color="auto" w:fill="auto"/>
          </w:tcPr>
          <w:p w14:paraId="7BA33A15">
            <w:pPr>
              <w:spacing w:after="0" w:line="240" w:lineRule="auto"/>
              <w:jc w:val="both"/>
              <w:rPr>
                <w:rFonts w:hint="default" w:ascii="Times New Roman" w:hAnsi="Times New Roman" w:eastAsia="Times New Roman" w:cs="Times New Roman"/>
                <w:color w:val="000000"/>
                <w:sz w:val="24"/>
                <w:szCs w:val="24"/>
                <w:lang w:val="en-US"/>
              </w:rPr>
            </w:pPr>
            <w:r>
              <w:rPr>
                <w:rFonts w:ascii="Times New Roman" w:hAnsi="Times New Roman" w:eastAsia="Times New Roman" w:cs="Times New Roman"/>
                <w:color w:val="000000"/>
                <w:sz w:val="24"/>
                <w:szCs w:val="24"/>
              </w:rPr>
              <w:t>Number of trained staff for catering and necessary catering equipment.</w:t>
            </w:r>
            <w:r>
              <w:rPr>
                <w:rFonts w:hint="default" w:ascii="Times New Roman" w:hAnsi="Times New Roman" w:eastAsia="Times New Roman" w:cs="Times New Roman"/>
                <w:color w:val="000000"/>
                <w:sz w:val="24"/>
                <w:szCs w:val="24"/>
                <w:lang w:val="en-US"/>
              </w:rPr>
              <w:t xml:space="preserve"> </w:t>
            </w:r>
            <w:r>
              <w:rPr>
                <w:rFonts w:hint="default" w:ascii="Times New Roman" w:hAnsi="Times New Roman" w:eastAsia="Times New Roman" w:cs="Times New Roman"/>
                <w:color w:val="auto"/>
                <w:sz w:val="24"/>
                <w:szCs w:val="24"/>
                <w:highlight w:val="none"/>
                <w:shd w:val="clear"/>
                <w:lang w:val="en-US"/>
              </w:rPr>
              <w:t>( Please attached evidence)</w:t>
            </w:r>
          </w:p>
        </w:tc>
      </w:tr>
      <w:tr w14:paraId="7101C496">
        <w:tblPrEx>
          <w:tblCellMar>
            <w:top w:w="0" w:type="dxa"/>
            <w:left w:w="108" w:type="dxa"/>
            <w:bottom w:w="0" w:type="dxa"/>
            <w:right w:w="108" w:type="dxa"/>
          </w:tblCellMar>
        </w:tblPrEx>
        <w:trPr>
          <w:trHeight w:val="90" w:hRule="atLeast"/>
        </w:trPr>
        <w:tc>
          <w:tcPr>
            <w:tcW w:w="3077" w:type="dxa"/>
            <w:tcBorders>
              <w:top w:val="nil"/>
              <w:left w:val="single" w:color="auto" w:sz="8" w:space="0"/>
              <w:bottom w:val="single" w:color="auto" w:sz="8" w:space="0"/>
              <w:right w:val="single" w:color="auto" w:sz="4" w:space="0"/>
            </w:tcBorders>
            <w:shd w:val="clear" w:color="auto" w:fill="auto"/>
          </w:tcPr>
          <w:p w14:paraId="2EB3ED06">
            <w:pPr>
              <w:spacing w:after="0" w:line="240" w:lineRule="auto"/>
              <w:rPr>
                <w:rFonts w:ascii="Times New Roman" w:hAnsi="Times New Roman" w:eastAsia="Times New Roman" w:cs="Times New Roman"/>
                <w:b/>
                <w:bCs/>
                <w:color w:val="000000"/>
                <w:sz w:val="24"/>
                <w:szCs w:val="24"/>
              </w:rPr>
            </w:pPr>
            <w:r>
              <w:rPr>
                <w:rFonts w:ascii="Times New Roman" w:hAnsi="Times New Roman" w:eastAsia="Times New Roman" w:cs="Times New Roman"/>
                <w:b/>
                <w:bCs/>
                <w:color w:val="000000"/>
                <w:sz w:val="24"/>
                <w:szCs w:val="24"/>
              </w:rPr>
              <w:t>Total Point</w:t>
            </w:r>
          </w:p>
        </w:tc>
        <w:tc>
          <w:tcPr>
            <w:tcW w:w="2384" w:type="dxa"/>
            <w:tcBorders>
              <w:top w:val="nil"/>
              <w:left w:val="nil"/>
              <w:bottom w:val="single" w:color="auto" w:sz="8" w:space="0"/>
              <w:right w:val="single" w:color="auto" w:sz="4" w:space="0"/>
            </w:tcBorders>
            <w:shd w:val="clear" w:color="auto" w:fill="auto"/>
          </w:tcPr>
          <w:p w14:paraId="4798CB75">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70 points</w:t>
            </w:r>
          </w:p>
        </w:tc>
        <w:tc>
          <w:tcPr>
            <w:tcW w:w="3037" w:type="dxa"/>
            <w:tcBorders>
              <w:top w:val="nil"/>
              <w:left w:val="nil"/>
              <w:bottom w:val="single" w:color="auto" w:sz="8" w:space="0"/>
              <w:right w:val="single" w:color="auto" w:sz="8" w:space="0"/>
            </w:tcBorders>
            <w:shd w:val="clear" w:color="auto" w:fill="auto"/>
          </w:tcPr>
          <w:p w14:paraId="4BC21DE5">
            <w:pPr>
              <w:spacing w:after="0" w:line="240" w:lineRule="auto"/>
              <w:jc w:val="both"/>
              <w:rPr>
                <w:rFonts w:ascii="Times New Roman" w:hAnsi="Times New Roman" w:eastAsia="Times New Roman" w:cs="Times New Roman"/>
                <w:color w:val="000000"/>
                <w:sz w:val="24"/>
                <w:szCs w:val="24"/>
              </w:rPr>
            </w:pPr>
          </w:p>
        </w:tc>
      </w:tr>
    </w:tbl>
    <w:p w14:paraId="7ED63910">
      <w:pPr>
        <w:jc w:val="both"/>
        <w:rPr>
          <w:rFonts w:ascii="Times New Roman" w:hAnsi="Times New Roman" w:cs="Times New Roman"/>
          <w:b/>
          <w:bCs/>
          <w:sz w:val="24"/>
          <w:szCs w:val="24"/>
        </w:rPr>
      </w:pPr>
    </w:p>
    <w:p w14:paraId="7C90C44C">
      <w:pPr>
        <w:jc w:val="both"/>
        <w:rPr>
          <w:rFonts w:ascii="Times New Roman" w:hAnsi="Times New Roman" w:cs="Times New Roman"/>
          <w:b/>
          <w:bCs/>
          <w:sz w:val="24"/>
          <w:szCs w:val="24"/>
        </w:rPr>
      </w:pPr>
      <w:r>
        <w:rPr>
          <w:rFonts w:ascii="Times New Roman" w:hAnsi="Times New Roman" w:cs="Times New Roman"/>
          <w:b/>
          <w:bCs/>
          <w:sz w:val="24"/>
          <w:szCs w:val="24"/>
        </w:rPr>
        <w:t>6.3 Financial Evaluation Criteria</w:t>
      </w:r>
    </w:p>
    <w:p w14:paraId="37C0BBA9">
      <w:pPr>
        <w:jc w:val="both"/>
        <w:rPr>
          <w:rFonts w:ascii="Times New Roman" w:hAnsi="Times New Roman" w:cs="Times New Roman"/>
          <w:sz w:val="24"/>
          <w:szCs w:val="24"/>
        </w:rPr>
      </w:pPr>
      <w:bookmarkStart w:id="2" w:name="_Hlk183274329"/>
      <w:r>
        <w:rPr>
          <w:rFonts w:ascii="Times New Roman" w:hAnsi="Times New Roman" w:cs="Times New Roman"/>
          <w:sz w:val="24"/>
          <w:szCs w:val="24"/>
        </w:rPr>
        <w:t>Bidders price will be evaluated based on the costs as specified in Annex B.</w:t>
      </w:r>
    </w:p>
    <w:p w14:paraId="35971767">
      <w:pPr>
        <w:jc w:val="both"/>
        <w:rPr>
          <w:rFonts w:ascii="Times New Roman" w:hAnsi="Times New Roman" w:cs="Times New Roman"/>
          <w:sz w:val="24"/>
          <w:szCs w:val="24"/>
        </w:rPr>
      </w:pPr>
      <w:r>
        <w:rPr>
          <w:rFonts w:ascii="Times New Roman" w:hAnsi="Times New Roman" w:cs="Times New Roman"/>
          <w:sz w:val="24"/>
          <w:szCs w:val="24"/>
        </w:rPr>
        <w:t>The score of 30 points is awarded to the tenderer whose offer is the lowest. GISCOR reserves the right to reject any offer whose financial part is deemed too low, unviable or incompatible with the performance of the proposed work.</w:t>
      </w:r>
    </w:p>
    <w:p w14:paraId="0069ABC1">
      <w:pPr>
        <w:jc w:val="both"/>
        <w:rPr>
          <w:rFonts w:ascii="Times New Roman" w:hAnsi="Times New Roman" w:cs="Times New Roman"/>
          <w:sz w:val="24"/>
          <w:szCs w:val="24"/>
        </w:rPr>
      </w:pPr>
      <w:r>
        <w:rPr>
          <w:rFonts w:ascii="Times New Roman" w:hAnsi="Times New Roman" w:cs="Times New Roman"/>
          <w:sz w:val="24"/>
          <w:szCs w:val="24"/>
        </w:rPr>
        <w:t xml:space="preserve">Formula for the financial note:          </w:t>
      </w:r>
      <w:r>
        <w:rPr>
          <w:rFonts w:ascii="Times New Roman" w:hAnsi="Times New Roman" w:cs="Times New Roman"/>
          <w:sz w:val="24"/>
          <w:szCs w:val="24"/>
          <w:u w:val="single"/>
        </w:rPr>
        <w:t>lowest bid amount</w:t>
      </w:r>
      <w:r>
        <w:rPr>
          <w:rFonts w:ascii="Times New Roman" w:hAnsi="Times New Roman" w:cs="Times New Roman"/>
          <w:sz w:val="24"/>
          <w:szCs w:val="24"/>
        </w:rPr>
        <w:t xml:space="preserve">        x 30</w:t>
      </w:r>
    </w:p>
    <w:p w14:paraId="70EEBCB7">
      <w:pPr>
        <w:jc w:val="both"/>
        <w:rPr>
          <w:rFonts w:ascii="Times New Roman" w:hAnsi="Times New Roman" w:cs="Times New Roman"/>
          <w:sz w:val="24"/>
          <w:szCs w:val="24"/>
        </w:rPr>
      </w:pPr>
      <w:r>
        <w:rPr>
          <w:rFonts w:ascii="Times New Roman" w:hAnsi="Times New Roman" w:cs="Times New Roman"/>
          <w:sz w:val="24"/>
          <w:szCs w:val="24"/>
        </w:rPr>
        <w:t xml:space="preserve">                                                          Amount Bid Bidder</w:t>
      </w:r>
    </w:p>
    <w:p w14:paraId="13AFF4D1">
      <w:pPr>
        <w:jc w:val="both"/>
        <w:rPr>
          <w:rFonts w:ascii="Times New Roman" w:hAnsi="Times New Roman" w:cs="Times New Roman"/>
          <w:b/>
          <w:bCs/>
          <w:sz w:val="24"/>
          <w:szCs w:val="24"/>
        </w:rPr>
      </w:pPr>
      <w:r>
        <w:rPr>
          <w:rFonts w:ascii="Times New Roman" w:hAnsi="Times New Roman" w:cs="Times New Roman"/>
          <w:sz w:val="24"/>
          <w:szCs w:val="24"/>
        </w:rPr>
        <w:t>Bidders should provide costs that are reasonable and according to the market and that will allow GISCOR to analyze your prices adequately</w:t>
      </w:r>
      <w:bookmarkEnd w:id="2"/>
    </w:p>
    <w:p w14:paraId="1518954E">
      <w:pPr>
        <w:jc w:val="both"/>
        <w:rPr>
          <w:rFonts w:ascii="Times New Roman" w:hAnsi="Times New Roman" w:cs="Times New Roman"/>
          <w:b/>
          <w:bCs/>
          <w:sz w:val="24"/>
          <w:szCs w:val="24"/>
        </w:rPr>
      </w:pPr>
      <w:r>
        <w:rPr>
          <w:rFonts w:ascii="Times New Roman" w:hAnsi="Times New Roman" w:cs="Times New Roman"/>
          <w:b/>
          <w:bCs/>
          <w:sz w:val="24"/>
          <w:szCs w:val="24"/>
        </w:rPr>
        <w:t>6.4 Combined Score Calculation</w:t>
      </w:r>
    </w:p>
    <w:p w14:paraId="7F3623F2">
      <w:pPr>
        <w:jc w:val="both"/>
        <w:rPr>
          <w:rFonts w:ascii="Times New Roman" w:hAnsi="Times New Roman" w:cs="Times New Roman"/>
          <w:sz w:val="24"/>
          <w:szCs w:val="24"/>
        </w:rPr>
      </w:pPr>
      <w:bookmarkStart w:id="3" w:name="_Hlk183274360"/>
      <w:r>
        <w:rPr>
          <w:rFonts w:ascii="Times New Roman" w:hAnsi="Times New Roman" w:cs="Times New Roman"/>
          <w:sz w:val="24"/>
          <w:szCs w:val="24"/>
        </w:rPr>
        <w:t>The final score is a combination of technical and financial evaluations. The bidder having obtained the best score after the evaluation will be awarded the contract.</w:t>
      </w:r>
      <w:bookmarkEnd w:id="3"/>
    </w:p>
    <w:p w14:paraId="5B0E0980">
      <w:pPr>
        <w:jc w:val="both"/>
        <w:rPr>
          <w:rFonts w:ascii="Times New Roman" w:hAnsi="Times New Roman" w:cs="Times New Roman"/>
          <w:b/>
          <w:bCs/>
          <w:sz w:val="24"/>
          <w:szCs w:val="24"/>
        </w:rPr>
      </w:pPr>
      <w:r>
        <w:rPr>
          <w:rFonts w:ascii="Times New Roman" w:hAnsi="Times New Roman" w:cs="Times New Roman"/>
          <w:b/>
          <w:bCs/>
          <w:sz w:val="24"/>
          <w:szCs w:val="24"/>
        </w:rPr>
        <w:t xml:space="preserve">7. Required Forms (Accessible on GISCOR website </w:t>
      </w:r>
      <w:r>
        <w:rPr>
          <w:rFonts w:ascii="Times New Roman" w:hAnsi="Times New Roman" w:cs="Times New Roman"/>
          <w:b/>
          <w:bCs/>
          <w:i/>
          <w:iCs/>
          <w:sz w:val="24"/>
          <w:szCs w:val="24"/>
        </w:rPr>
        <w:t>www.giscor.org</w:t>
      </w:r>
      <w:r>
        <w:rPr>
          <w:rFonts w:ascii="Times New Roman" w:hAnsi="Times New Roman" w:cs="Times New Roman"/>
          <w:b/>
          <w:bCs/>
          <w:sz w:val="24"/>
          <w:szCs w:val="24"/>
        </w:rPr>
        <w:t>)</w:t>
      </w:r>
    </w:p>
    <w:p w14:paraId="448F66D1">
      <w:pPr>
        <w:numPr>
          <w:ilvl w:val="0"/>
          <w:numId w:val="5"/>
        </w:numPr>
        <w:jc w:val="both"/>
        <w:rPr>
          <w:rFonts w:ascii="Times New Roman" w:hAnsi="Times New Roman" w:cs="Times New Roman"/>
          <w:sz w:val="24"/>
          <w:szCs w:val="24"/>
        </w:rPr>
      </w:pPr>
      <w:r>
        <w:rPr>
          <w:rFonts w:ascii="Times New Roman" w:hAnsi="Times New Roman" w:cs="Times New Roman"/>
          <w:b/>
          <w:bCs/>
          <w:sz w:val="24"/>
          <w:szCs w:val="24"/>
        </w:rPr>
        <w:t>Annex A</w:t>
      </w:r>
      <w:r>
        <w:rPr>
          <w:rFonts w:ascii="Times New Roman" w:hAnsi="Times New Roman" w:cs="Times New Roman"/>
          <w:sz w:val="24"/>
          <w:szCs w:val="24"/>
        </w:rPr>
        <w:t>: Supplier Information Form – Contains essential information on the bidder’s business, including contact information, legal status, and relevant certifications.</w:t>
      </w:r>
    </w:p>
    <w:p w14:paraId="52DF2402">
      <w:pPr>
        <w:numPr>
          <w:ilvl w:val="0"/>
          <w:numId w:val="5"/>
        </w:numPr>
        <w:jc w:val="both"/>
        <w:rPr>
          <w:rFonts w:ascii="Times New Roman" w:hAnsi="Times New Roman" w:cs="Times New Roman"/>
          <w:sz w:val="24"/>
          <w:szCs w:val="24"/>
        </w:rPr>
      </w:pPr>
      <w:r>
        <w:rPr>
          <w:rFonts w:ascii="Times New Roman" w:hAnsi="Times New Roman" w:cs="Times New Roman"/>
          <w:b/>
          <w:bCs/>
          <w:sz w:val="24"/>
          <w:szCs w:val="24"/>
        </w:rPr>
        <w:t>Annex</w:t>
      </w:r>
      <w:r>
        <w:rPr>
          <w:rFonts w:hint="default" w:ascii="Times New Roman" w:hAnsi="Times New Roman" w:cs="Times New Roman"/>
          <w:b/>
          <w:bCs/>
          <w:sz w:val="24"/>
          <w:szCs w:val="24"/>
          <w:lang w:val="en-US"/>
        </w:rPr>
        <w:t xml:space="preserve"> </w:t>
      </w:r>
      <w:r>
        <w:rPr>
          <w:rFonts w:ascii="Times New Roman" w:hAnsi="Times New Roman" w:cs="Times New Roman"/>
          <w:b/>
          <w:bCs/>
          <w:sz w:val="24"/>
          <w:szCs w:val="24"/>
        </w:rPr>
        <w:t>B</w:t>
      </w:r>
      <w:r>
        <w:rPr>
          <w:rFonts w:hint="default" w:ascii="Times New Roman" w:hAnsi="Times New Roman" w:cs="Times New Roman"/>
          <w:b/>
          <w:bCs/>
          <w:sz w:val="24"/>
          <w:szCs w:val="24"/>
          <w:lang w:val="en-US"/>
        </w:rPr>
        <w:t xml:space="preserve"> and 1B</w:t>
      </w:r>
      <w:r>
        <w:rPr>
          <w:rFonts w:ascii="Times New Roman" w:hAnsi="Times New Roman" w:cs="Times New Roman"/>
          <w:sz w:val="24"/>
          <w:szCs w:val="24"/>
        </w:rPr>
        <w:t>: Financial Offer Form – Itemized breakdown of costs per service component, with options for each lot.</w:t>
      </w:r>
    </w:p>
    <w:p w14:paraId="55753B3D">
      <w:pPr>
        <w:jc w:val="both"/>
        <w:rPr>
          <w:rFonts w:ascii="Times New Roman" w:hAnsi="Times New Roman" w:cs="Times New Roman"/>
          <w:b/>
          <w:bCs/>
          <w:sz w:val="24"/>
          <w:szCs w:val="24"/>
        </w:rPr>
      </w:pPr>
      <w:r>
        <w:rPr>
          <w:rFonts w:ascii="Times New Roman" w:hAnsi="Times New Roman" w:cs="Times New Roman"/>
          <w:b/>
          <w:bCs/>
          <w:sz w:val="24"/>
          <w:szCs w:val="24"/>
        </w:rPr>
        <w:t>8. Terms and Conditions</w:t>
      </w:r>
      <w:bookmarkStart w:id="4" w:name="_GoBack"/>
      <w:bookmarkEnd w:id="4"/>
    </w:p>
    <w:p w14:paraId="0D6E7D30">
      <w:pPr>
        <w:numPr>
          <w:ilvl w:val="0"/>
          <w:numId w:val="6"/>
        </w:numPr>
        <w:jc w:val="both"/>
        <w:rPr>
          <w:rFonts w:ascii="Times New Roman" w:hAnsi="Times New Roman" w:cs="Times New Roman"/>
          <w:sz w:val="24"/>
          <w:szCs w:val="24"/>
        </w:rPr>
      </w:pPr>
      <w:r>
        <w:rPr>
          <w:rFonts w:ascii="Times New Roman" w:hAnsi="Times New Roman" w:cs="Times New Roman"/>
          <w:b/>
          <w:bCs/>
          <w:sz w:val="24"/>
          <w:szCs w:val="24"/>
        </w:rPr>
        <w:t>Contract Duration</w:t>
      </w:r>
      <w:r>
        <w:rPr>
          <w:rFonts w:ascii="Times New Roman" w:hAnsi="Times New Roman" w:cs="Times New Roman"/>
          <w:sz w:val="24"/>
          <w:szCs w:val="24"/>
        </w:rPr>
        <w:t>: The initial contract term will be for one year, with potential renewal based on performance and need.</w:t>
      </w:r>
    </w:p>
    <w:p w14:paraId="62C54EBC">
      <w:pPr>
        <w:numPr>
          <w:ilvl w:val="0"/>
          <w:numId w:val="6"/>
        </w:numPr>
        <w:jc w:val="both"/>
        <w:rPr>
          <w:rFonts w:ascii="Times New Roman" w:hAnsi="Times New Roman" w:cs="Times New Roman"/>
          <w:sz w:val="24"/>
          <w:szCs w:val="24"/>
        </w:rPr>
      </w:pPr>
      <w:r>
        <w:rPr>
          <w:rFonts w:ascii="Times New Roman" w:hAnsi="Times New Roman" w:cs="Times New Roman"/>
          <w:b/>
          <w:bCs/>
          <w:sz w:val="24"/>
          <w:szCs w:val="24"/>
        </w:rPr>
        <w:t>Payment Terms</w:t>
      </w:r>
      <w:r>
        <w:rPr>
          <w:rFonts w:ascii="Times New Roman" w:hAnsi="Times New Roman" w:cs="Times New Roman"/>
          <w:sz w:val="24"/>
          <w:szCs w:val="24"/>
        </w:rPr>
        <w:t xml:space="preserve">: Payment is due within </w:t>
      </w:r>
      <w:r>
        <w:rPr>
          <w:rFonts w:hint="default" w:ascii="Times New Roman" w:hAnsi="Times New Roman" w:cs="Times New Roman"/>
          <w:sz w:val="24"/>
          <w:szCs w:val="24"/>
          <w:lang w:val="en-US"/>
        </w:rPr>
        <w:t>5</w:t>
      </w:r>
      <w:r>
        <w:rPr>
          <w:rFonts w:ascii="Times New Roman" w:hAnsi="Times New Roman" w:cs="Times New Roman"/>
          <w:sz w:val="24"/>
          <w:szCs w:val="24"/>
        </w:rPr>
        <w:t xml:space="preserve"> days of satisfactory service completion and upon receipt of valid invoices.</w:t>
      </w:r>
    </w:p>
    <w:p w14:paraId="466A7A42">
      <w:pPr>
        <w:numPr>
          <w:ilvl w:val="0"/>
          <w:numId w:val="6"/>
        </w:numPr>
        <w:jc w:val="both"/>
        <w:rPr>
          <w:rFonts w:ascii="Times New Roman" w:hAnsi="Times New Roman" w:cs="Times New Roman"/>
          <w:sz w:val="24"/>
          <w:szCs w:val="24"/>
        </w:rPr>
      </w:pPr>
      <w:r>
        <w:rPr>
          <w:rFonts w:ascii="Times New Roman" w:hAnsi="Times New Roman" w:cs="Times New Roman"/>
          <w:b/>
          <w:bCs/>
          <w:sz w:val="24"/>
          <w:szCs w:val="24"/>
        </w:rPr>
        <w:t>Confidentiality</w:t>
      </w:r>
      <w:r>
        <w:rPr>
          <w:rFonts w:ascii="Times New Roman" w:hAnsi="Times New Roman" w:cs="Times New Roman"/>
          <w:sz w:val="24"/>
          <w:szCs w:val="24"/>
        </w:rPr>
        <w:t>: Vendors must not disclose any information provided by GISCOR during or after the tender process.</w:t>
      </w:r>
    </w:p>
    <w:p w14:paraId="3D0C0367">
      <w:pPr>
        <w:numPr>
          <w:ilvl w:val="0"/>
          <w:numId w:val="6"/>
        </w:numPr>
        <w:jc w:val="both"/>
        <w:rPr>
          <w:rFonts w:ascii="Times New Roman" w:hAnsi="Times New Roman" w:cs="Times New Roman"/>
          <w:sz w:val="24"/>
          <w:szCs w:val="24"/>
        </w:rPr>
      </w:pPr>
      <w:r>
        <w:rPr>
          <w:rFonts w:ascii="Times New Roman" w:hAnsi="Times New Roman" w:cs="Times New Roman"/>
          <w:b/>
          <w:bCs/>
          <w:sz w:val="24"/>
          <w:szCs w:val="24"/>
        </w:rPr>
        <w:t>Termination Rights</w:t>
      </w:r>
      <w:r>
        <w:rPr>
          <w:rFonts w:ascii="Times New Roman" w:hAnsi="Times New Roman" w:cs="Times New Roman"/>
          <w:sz w:val="24"/>
          <w:szCs w:val="24"/>
        </w:rPr>
        <w:t xml:space="preserve">: GISCOR reserves the right to terminate the contract in case of </w:t>
      </w:r>
      <w:r>
        <w:rPr>
          <w:rFonts w:ascii="Times New Roman" w:hAnsi="Times New Roman" w:cs="Times New Roman"/>
          <w:sz w:val="24"/>
          <w:szCs w:val="24"/>
          <w:lang w:val="en-US"/>
        </w:rPr>
        <w:t>under performance</w:t>
      </w:r>
      <w:r>
        <w:rPr>
          <w:rFonts w:ascii="Times New Roman" w:hAnsi="Times New Roman" w:cs="Times New Roman"/>
          <w:sz w:val="24"/>
          <w:szCs w:val="24"/>
        </w:rPr>
        <w:t>.</w:t>
      </w:r>
    </w:p>
    <w:p w14:paraId="10EB51E0">
      <w:pPr>
        <w:jc w:val="both"/>
        <w:rPr>
          <w:rFonts w:ascii="Times New Roman" w:hAnsi="Times New Roman" w:cs="Times New Roman"/>
          <w:b/>
          <w:bCs/>
          <w:sz w:val="24"/>
          <w:szCs w:val="24"/>
        </w:rPr>
      </w:pPr>
      <w:r>
        <w:rPr>
          <w:rFonts w:ascii="Times New Roman" w:hAnsi="Times New Roman" w:cs="Times New Roman"/>
          <w:b/>
          <w:bCs/>
          <w:sz w:val="24"/>
          <w:szCs w:val="24"/>
        </w:rPr>
        <w:t>9. Important Dates</w:t>
      </w:r>
    </w:p>
    <w:p w14:paraId="2EB0AE7B">
      <w:pPr>
        <w:numPr>
          <w:ilvl w:val="0"/>
          <w:numId w:val="7"/>
        </w:numPr>
        <w:jc w:val="both"/>
        <w:rPr>
          <w:rFonts w:ascii="Times New Roman" w:hAnsi="Times New Roman" w:cs="Times New Roman"/>
          <w:sz w:val="24"/>
          <w:szCs w:val="24"/>
          <w:highlight w:val="none"/>
        </w:rPr>
      </w:pPr>
      <w:r>
        <w:rPr>
          <w:rFonts w:ascii="Times New Roman" w:hAnsi="Times New Roman" w:cs="Times New Roman"/>
          <w:b/>
          <w:bCs/>
          <w:sz w:val="24"/>
          <w:szCs w:val="24"/>
          <w:highlight w:val="none"/>
        </w:rPr>
        <w:t>Tender Advertisement Release</w:t>
      </w:r>
      <w:r>
        <w:rPr>
          <w:rFonts w:ascii="Times New Roman" w:hAnsi="Times New Roman" w:cs="Times New Roman"/>
          <w:sz w:val="24"/>
          <w:szCs w:val="24"/>
          <w:highlight w:val="none"/>
        </w:rPr>
        <w:t xml:space="preserve">: </w:t>
      </w:r>
      <w:r>
        <w:rPr>
          <w:rFonts w:hint="default" w:ascii="Times New Roman" w:hAnsi="Times New Roman" w:cs="Times New Roman"/>
          <w:sz w:val="24"/>
          <w:szCs w:val="24"/>
          <w:highlight w:val="none"/>
          <w:lang w:val="en-US"/>
        </w:rPr>
        <w:t>3</w:t>
      </w:r>
      <w:r>
        <w:rPr>
          <w:rFonts w:ascii="Times New Roman" w:hAnsi="Times New Roman" w:cs="Times New Roman"/>
          <w:sz w:val="24"/>
          <w:szCs w:val="24"/>
          <w:highlight w:val="none"/>
          <w:vertAlign w:val="superscript"/>
        </w:rPr>
        <w:t>th</w:t>
      </w:r>
      <w:r>
        <w:rPr>
          <w:rFonts w:ascii="Times New Roman" w:hAnsi="Times New Roman" w:cs="Times New Roman"/>
          <w:sz w:val="24"/>
          <w:szCs w:val="24"/>
          <w:highlight w:val="none"/>
        </w:rPr>
        <w:t xml:space="preserve"> </w:t>
      </w:r>
      <w:r>
        <w:rPr>
          <w:rFonts w:hint="default" w:ascii="Times New Roman" w:hAnsi="Times New Roman" w:cs="Times New Roman"/>
          <w:sz w:val="24"/>
          <w:szCs w:val="24"/>
          <w:highlight w:val="none"/>
          <w:lang w:val="en-US"/>
        </w:rPr>
        <w:t>Dec</w:t>
      </w:r>
      <w:r>
        <w:rPr>
          <w:rFonts w:ascii="Times New Roman" w:hAnsi="Times New Roman" w:cs="Times New Roman"/>
          <w:sz w:val="24"/>
          <w:szCs w:val="24"/>
          <w:highlight w:val="none"/>
        </w:rPr>
        <w:t>ember 2024</w:t>
      </w:r>
    </w:p>
    <w:p w14:paraId="19F15E5B">
      <w:pPr>
        <w:numPr>
          <w:ilvl w:val="0"/>
          <w:numId w:val="7"/>
        </w:numPr>
        <w:jc w:val="both"/>
        <w:rPr>
          <w:rFonts w:ascii="Times New Roman" w:hAnsi="Times New Roman" w:cs="Times New Roman"/>
          <w:sz w:val="24"/>
          <w:szCs w:val="24"/>
          <w:highlight w:val="none"/>
        </w:rPr>
      </w:pPr>
      <w:r>
        <w:rPr>
          <w:rFonts w:ascii="Times New Roman" w:hAnsi="Times New Roman" w:cs="Times New Roman"/>
          <w:b/>
          <w:bCs/>
          <w:sz w:val="24"/>
          <w:szCs w:val="24"/>
          <w:highlight w:val="none"/>
        </w:rPr>
        <w:t>Submission Deadline</w:t>
      </w:r>
      <w:r>
        <w:rPr>
          <w:rFonts w:ascii="Times New Roman" w:hAnsi="Times New Roman" w:cs="Times New Roman"/>
          <w:sz w:val="24"/>
          <w:szCs w:val="24"/>
          <w:highlight w:val="none"/>
        </w:rPr>
        <w:t xml:space="preserve">: </w:t>
      </w:r>
      <w:r>
        <w:rPr>
          <w:rFonts w:hint="default" w:ascii="Times New Roman" w:hAnsi="Times New Roman" w:cs="Times New Roman"/>
          <w:sz w:val="24"/>
          <w:szCs w:val="24"/>
          <w:highlight w:val="none"/>
          <w:lang w:val="en-US"/>
        </w:rPr>
        <w:t>17</w:t>
      </w:r>
      <w:r>
        <w:rPr>
          <w:rFonts w:ascii="Times New Roman" w:hAnsi="Times New Roman" w:cs="Times New Roman"/>
          <w:sz w:val="24"/>
          <w:szCs w:val="24"/>
          <w:highlight w:val="none"/>
          <w:vertAlign w:val="superscript"/>
        </w:rPr>
        <w:t>th</w:t>
      </w:r>
      <w:r>
        <w:rPr>
          <w:rFonts w:ascii="Times New Roman" w:hAnsi="Times New Roman" w:cs="Times New Roman"/>
          <w:sz w:val="24"/>
          <w:szCs w:val="24"/>
          <w:highlight w:val="none"/>
        </w:rPr>
        <w:t xml:space="preserve"> December 2024</w:t>
      </w:r>
      <w:r>
        <w:rPr>
          <w:rFonts w:hint="default" w:ascii="Times New Roman" w:hAnsi="Times New Roman" w:cs="Times New Roman"/>
          <w:sz w:val="24"/>
          <w:szCs w:val="24"/>
          <w:highlight w:val="none"/>
          <w:lang w:val="en-US"/>
        </w:rPr>
        <w:t xml:space="preserve"> @ 5:00PM</w:t>
      </w:r>
    </w:p>
    <w:sectPr>
      <w:headerReference r:id="rId5" w:type="default"/>
      <w:pgSz w:w="12240" w:h="15840"/>
      <w:pgMar w:top="990" w:right="1440" w:bottom="90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Symbol">
    <w:panose1 w:val="05050102010706020507"/>
    <w:charset w:val="02"/>
    <w:family w:val="roman"/>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A83231">
    <w:pPr>
      <w:pStyle w:val="5"/>
    </w:pPr>
    <w:r>
      <w:drawing>
        <wp:inline distT="0" distB="0" distL="0" distR="0">
          <wp:extent cx="958850" cy="654050"/>
          <wp:effectExtent l="0" t="0" r="0" b="0"/>
          <wp:docPr id="205203595" name="Picture 2052035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03595" name="Picture 20520359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958850" cy="65405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6C7862"/>
    <w:multiLevelType w:val="multilevel"/>
    <w:tmpl w:val="126C7862"/>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1">
    <w:nsid w:val="14234585"/>
    <w:multiLevelType w:val="multilevel"/>
    <w:tmpl w:val="14234585"/>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2">
    <w:nsid w:val="183259C4"/>
    <w:multiLevelType w:val="multilevel"/>
    <w:tmpl w:val="183259C4"/>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3">
    <w:nsid w:val="50A92515"/>
    <w:multiLevelType w:val="multilevel"/>
    <w:tmpl w:val="50A92515"/>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4">
    <w:nsid w:val="6BD10EF5"/>
    <w:multiLevelType w:val="multilevel"/>
    <w:tmpl w:val="6BD10EF5"/>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5">
    <w:nsid w:val="773D2700"/>
    <w:multiLevelType w:val="multilevel"/>
    <w:tmpl w:val="773D2700"/>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6">
    <w:nsid w:val="7C3667D8"/>
    <w:multiLevelType w:val="multilevel"/>
    <w:tmpl w:val="7C3667D8"/>
    <w:lvl w:ilvl="0" w:tentative="0">
      <w:start w:val="1"/>
      <w:numFmt w:val="decimal"/>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4"/>
  </w:num>
  <w:num w:numId="2">
    <w:abstractNumId w:val="1"/>
  </w:num>
  <w:num w:numId="3">
    <w:abstractNumId w:val="2"/>
  </w:num>
  <w:num w:numId="4">
    <w:abstractNumId w:val="0"/>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964"/>
    <w:rsid w:val="00095BF2"/>
    <w:rsid w:val="00125F11"/>
    <w:rsid w:val="0017187C"/>
    <w:rsid w:val="00265A86"/>
    <w:rsid w:val="0027707A"/>
    <w:rsid w:val="002B5964"/>
    <w:rsid w:val="00354C71"/>
    <w:rsid w:val="00397536"/>
    <w:rsid w:val="0042502E"/>
    <w:rsid w:val="0048628D"/>
    <w:rsid w:val="00507E2E"/>
    <w:rsid w:val="00520251"/>
    <w:rsid w:val="00553BAA"/>
    <w:rsid w:val="006A134F"/>
    <w:rsid w:val="007235C0"/>
    <w:rsid w:val="00745C36"/>
    <w:rsid w:val="00797896"/>
    <w:rsid w:val="00997E2C"/>
    <w:rsid w:val="00A00FEB"/>
    <w:rsid w:val="00AF0E9A"/>
    <w:rsid w:val="00B561A2"/>
    <w:rsid w:val="00B91B81"/>
    <w:rsid w:val="00C46E87"/>
    <w:rsid w:val="00C528C0"/>
    <w:rsid w:val="00C9705E"/>
    <w:rsid w:val="00CF25B5"/>
    <w:rsid w:val="00D34DF4"/>
    <w:rsid w:val="00D57B76"/>
    <w:rsid w:val="00D867BD"/>
    <w:rsid w:val="017A094B"/>
    <w:rsid w:val="095B35BA"/>
    <w:rsid w:val="0AEC68B1"/>
    <w:rsid w:val="0DB33053"/>
    <w:rsid w:val="18811B8B"/>
    <w:rsid w:val="20595782"/>
    <w:rsid w:val="21454223"/>
    <w:rsid w:val="26613C06"/>
    <w:rsid w:val="29B17B9C"/>
    <w:rsid w:val="34C055D7"/>
    <w:rsid w:val="37E8443C"/>
    <w:rsid w:val="38C45A8C"/>
    <w:rsid w:val="3AE51A35"/>
    <w:rsid w:val="3EFB495F"/>
    <w:rsid w:val="48AD09A9"/>
    <w:rsid w:val="491A0BFD"/>
    <w:rsid w:val="493375A8"/>
    <w:rsid w:val="4C26757B"/>
    <w:rsid w:val="4C906FAA"/>
    <w:rsid w:val="4CED7344"/>
    <w:rsid w:val="68175212"/>
    <w:rsid w:val="6A075683"/>
    <w:rsid w:val="6B1D5FA7"/>
    <w:rsid w:val="6B421B88"/>
    <w:rsid w:val="719E4475"/>
    <w:rsid w:val="78CA44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8"/>
    <w:unhideWhenUsed/>
    <w:qFormat/>
    <w:uiPriority w:val="99"/>
    <w:pPr>
      <w:tabs>
        <w:tab w:val="center" w:pos="4680"/>
        <w:tab w:val="right" w:pos="9360"/>
      </w:tabs>
      <w:spacing w:after="0" w:line="240" w:lineRule="auto"/>
    </w:pPr>
  </w:style>
  <w:style w:type="paragraph" w:styleId="5">
    <w:name w:val="header"/>
    <w:basedOn w:val="1"/>
    <w:link w:val="7"/>
    <w:unhideWhenUsed/>
    <w:uiPriority w:val="99"/>
    <w:pPr>
      <w:tabs>
        <w:tab w:val="center" w:pos="4680"/>
        <w:tab w:val="right" w:pos="9360"/>
      </w:tabs>
      <w:spacing w:after="0" w:line="240" w:lineRule="auto"/>
    </w:pPr>
  </w:style>
  <w:style w:type="character" w:styleId="6">
    <w:name w:val="Hyperlink"/>
    <w:basedOn w:val="2"/>
    <w:unhideWhenUsed/>
    <w:uiPriority w:val="99"/>
    <w:rPr>
      <w:color w:val="0563C1" w:themeColor="hyperlink"/>
      <w:u w:val="single"/>
      <w14:textFill>
        <w14:solidFill>
          <w14:schemeClr w14:val="hlink"/>
        </w14:solidFill>
      </w14:textFill>
    </w:rPr>
  </w:style>
  <w:style w:type="character" w:customStyle="1" w:styleId="7">
    <w:name w:val="Header Char"/>
    <w:basedOn w:val="2"/>
    <w:link w:val="5"/>
    <w:qFormat/>
    <w:uiPriority w:val="99"/>
  </w:style>
  <w:style w:type="character" w:customStyle="1" w:styleId="8">
    <w:name w:val="Footer Char"/>
    <w:basedOn w:val="2"/>
    <w:link w:val="4"/>
    <w:qFormat/>
    <w:uiPriority w:val="99"/>
  </w:style>
  <w:style w:type="character" w:customStyle="1" w:styleId="9">
    <w:name w:val="Unresolved Mention"/>
    <w:basedOn w:val="2"/>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1038</Words>
  <Characters>5921</Characters>
  <Lines>49</Lines>
  <Paragraphs>13</Paragraphs>
  <TotalTime>215</TotalTime>
  <ScaleCrop>false</ScaleCrop>
  <LinksUpToDate>false</LinksUpToDate>
  <CharactersWithSpaces>6946</CharactersWithSpaces>
  <Application>WPS Office_12.2.0.18911_F1E327BC-269C-435d-A152-05C5408002CA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2024-11-23T14:16:00Z</dcterms:created>
  <dc:creator>Abdulrahman Lawan Bulama</dc:creator>
  <cp:lastModifiedBy>Gbue Zubairu</cp:lastModifiedBy>
  <dcterms:modified xsi:type="dcterms:W3CDTF">2024-12-03T09:51:36Z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1033-12.2.0.18911</vt:lpwstr>
  </property>
  <property fmtid="{D5CDD505-2E9C-101B-9397-08002B2CF9AE}" pid="3" name="ICV">
    <vt:lpwstr>76715BF15A5B4CB098F5B158A6E8121B_12</vt:lpwstr>
  </property>
</Properties>
</file>